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8"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
        <w:gridCol w:w="1817"/>
        <w:gridCol w:w="2848"/>
        <w:gridCol w:w="2858"/>
        <w:gridCol w:w="2856"/>
        <w:gridCol w:w="2750"/>
        <w:gridCol w:w="106"/>
      </w:tblGrid>
      <w:tr w:rsidR="004C0F06" w:rsidRPr="00F002E5" w:rsidTr="004C0F06">
        <w:trPr>
          <w:gridBefore w:val="1"/>
          <w:wBefore w:w="4" w:type="pct"/>
          <w:trHeight w:hRule="exact" w:val="344"/>
        </w:trPr>
        <w:tc>
          <w:tcPr>
            <w:tcW w:w="686" w:type="pct"/>
            <w:shd w:val="clear" w:color="auto" w:fill="D9D9D9"/>
            <w:tcMar>
              <w:top w:w="80" w:type="dxa"/>
              <w:left w:w="80" w:type="dxa"/>
              <w:bottom w:w="80" w:type="dxa"/>
              <w:right w:w="80" w:type="dxa"/>
            </w:tcMar>
            <w:vAlign w:val="center"/>
          </w:tcPr>
          <w:p w:rsidR="004C0F06" w:rsidRPr="00F002E5" w:rsidRDefault="004C0F06" w:rsidP="009B59C7">
            <w:pPr>
              <w:pStyle w:val="F"/>
              <w:jc w:val="center"/>
              <w:rPr>
                <w:rFonts w:ascii="Calibri" w:hAnsi="Calibri" w:cs="Calibri"/>
                <w:b/>
                <w:bCs/>
                <w:sz w:val="20"/>
                <w:szCs w:val="20"/>
              </w:rPr>
            </w:pPr>
            <w:r w:rsidRPr="00F002E5">
              <w:rPr>
                <w:rFonts w:ascii="Calibri" w:hAnsi="Calibri" w:cs="Calibri"/>
                <w:b/>
                <w:bCs/>
                <w:sz w:val="20"/>
                <w:szCs w:val="20"/>
              </w:rPr>
              <w:t>Component</w:t>
            </w:r>
          </w:p>
          <w:p w:rsidR="004C0F06" w:rsidRPr="00F002E5" w:rsidRDefault="004C0F06" w:rsidP="009B59C7">
            <w:pPr>
              <w:pStyle w:val="F"/>
              <w:jc w:val="center"/>
              <w:rPr>
                <w:rFonts w:ascii="Calibri" w:hAnsi="Calibri" w:cs="Calibri"/>
                <w:b/>
                <w:bCs/>
                <w:sz w:val="20"/>
                <w:szCs w:val="20"/>
              </w:rPr>
            </w:pPr>
          </w:p>
        </w:tc>
        <w:tc>
          <w:tcPr>
            <w:tcW w:w="1075" w:type="pct"/>
            <w:shd w:val="clear" w:color="auto" w:fill="D9D9D9"/>
            <w:tcMar>
              <w:top w:w="80" w:type="dxa"/>
              <w:left w:w="80" w:type="dxa"/>
              <w:bottom w:w="80" w:type="dxa"/>
              <w:right w:w="80" w:type="dxa"/>
            </w:tcMar>
            <w:vAlign w:val="center"/>
          </w:tcPr>
          <w:p w:rsidR="004C0F06" w:rsidRPr="00F002E5" w:rsidRDefault="004C0F06" w:rsidP="009B59C7">
            <w:pPr>
              <w:pStyle w:val="F"/>
              <w:jc w:val="center"/>
              <w:rPr>
                <w:rFonts w:ascii="Calibri" w:hAnsi="Calibri" w:cs="Calibri"/>
                <w:b/>
                <w:bCs/>
                <w:sz w:val="20"/>
                <w:szCs w:val="20"/>
              </w:rPr>
            </w:pPr>
            <w:r w:rsidRPr="00F002E5">
              <w:rPr>
                <w:rFonts w:ascii="Calibri" w:hAnsi="Calibri" w:cs="Calibri"/>
                <w:b/>
                <w:bCs/>
                <w:sz w:val="20"/>
                <w:szCs w:val="20"/>
              </w:rPr>
              <w:t xml:space="preserve">Ineffective </w:t>
            </w:r>
          </w:p>
        </w:tc>
        <w:tc>
          <w:tcPr>
            <w:tcW w:w="1079" w:type="pct"/>
            <w:shd w:val="clear" w:color="auto" w:fill="D9D9D9"/>
            <w:tcMar>
              <w:top w:w="80" w:type="dxa"/>
              <w:left w:w="80" w:type="dxa"/>
              <w:bottom w:w="80" w:type="dxa"/>
              <w:right w:w="80" w:type="dxa"/>
            </w:tcMar>
            <w:vAlign w:val="center"/>
          </w:tcPr>
          <w:p w:rsidR="004C0F06" w:rsidRPr="00F002E5" w:rsidRDefault="004C0F06" w:rsidP="009B59C7">
            <w:pPr>
              <w:pStyle w:val="F"/>
              <w:jc w:val="center"/>
              <w:rPr>
                <w:rFonts w:ascii="Calibri" w:hAnsi="Calibri" w:cs="Calibri"/>
                <w:b/>
                <w:bCs/>
                <w:sz w:val="20"/>
                <w:szCs w:val="20"/>
              </w:rPr>
            </w:pPr>
            <w:r w:rsidRPr="00F002E5">
              <w:rPr>
                <w:rFonts w:ascii="Calibri" w:hAnsi="Calibri" w:cs="Calibri"/>
                <w:b/>
                <w:bCs/>
                <w:sz w:val="20"/>
                <w:szCs w:val="20"/>
              </w:rPr>
              <w:t xml:space="preserve">Developing </w:t>
            </w:r>
          </w:p>
        </w:tc>
        <w:tc>
          <w:tcPr>
            <w:tcW w:w="1078" w:type="pct"/>
            <w:shd w:val="clear" w:color="auto" w:fill="D9D9D9"/>
            <w:tcMar>
              <w:top w:w="80" w:type="dxa"/>
              <w:left w:w="80" w:type="dxa"/>
              <w:bottom w:w="80" w:type="dxa"/>
              <w:right w:w="80" w:type="dxa"/>
            </w:tcMar>
            <w:vAlign w:val="center"/>
          </w:tcPr>
          <w:p w:rsidR="004C0F06" w:rsidRPr="00F002E5" w:rsidRDefault="004C0F06" w:rsidP="009B59C7">
            <w:pPr>
              <w:pStyle w:val="F"/>
              <w:jc w:val="center"/>
              <w:rPr>
                <w:rFonts w:ascii="Calibri" w:hAnsi="Calibri" w:cs="Calibri"/>
                <w:b/>
                <w:bCs/>
                <w:sz w:val="20"/>
                <w:szCs w:val="20"/>
              </w:rPr>
            </w:pPr>
            <w:r w:rsidRPr="00F002E5">
              <w:rPr>
                <w:rFonts w:ascii="Calibri" w:hAnsi="Calibri" w:cs="Calibri"/>
                <w:b/>
                <w:bCs/>
                <w:sz w:val="20"/>
                <w:szCs w:val="20"/>
              </w:rPr>
              <w:t>Accomplished</w:t>
            </w:r>
          </w:p>
          <w:p w:rsidR="004C0F06" w:rsidRPr="00F002E5" w:rsidRDefault="004C0F06" w:rsidP="009B59C7">
            <w:pPr>
              <w:pStyle w:val="F"/>
              <w:jc w:val="center"/>
              <w:rPr>
                <w:rFonts w:ascii="Calibri" w:hAnsi="Calibri" w:cs="Calibri"/>
                <w:b/>
                <w:bCs/>
                <w:sz w:val="20"/>
                <w:szCs w:val="20"/>
              </w:rPr>
            </w:pPr>
          </w:p>
        </w:tc>
        <w:tc>
          <w:tcPr>
            <w:tcW w:w="1078" w:type="pct"/>
            <w:gridSpan w:val="2"/>
            <w:shd w:val="clear" w:color="auto" w:fill="D9D9D9"/>
            <w:tcMar>
              <w:top w:w="80" w:type="dxa"/>
              <w:left w:w="80" w:type="dxa"/>
              <w:bottom w:w="80" w:type="dxa"/>
              <w:right w:w="80" w:type="dxa"/>
            </w:tcMar>
            <w:vAlign w:val="center"/>
          </w:tcPr>
          <w:p w:rsidR="004C0F06" w:rsidRPr="00F002E5" w:rsidRDefault="004C0F06" w:rsidP="009B59C7">
            <w:pPr>
              <w:pStyle w:val="F"/>
              <w:jc w:val="center"/>
              <w:rPr>
                <w:rFonts w:ascii="Calibri" w:hAnsi="Calibri" w:cs="Calibri"/>
                <w:b/>
                <w:bCs/>
                <w:sz w:val="20"/>
                <w:szCs w:val="20"/>
              </w:rPr>
            </w:pPr>
            <w:r w:rsidRPr="00F002E5">
              <w:rPr>
                <w:rFonts w:ascii="Calibri" w:hAnsi="Calibri" w:cs="Calibri"/>
                <w:b/>
                <w:bCs/>
                <w:sz w:val="20"/>
                <w:szCs w:val="20"/>
              </w:rPr>
              <w:t xml:space="preserve">Exemplary </w:t>
            </w:r>
          </w:p>
        </w:tc>
      </w:tr>
      <w:tr w:rsidR="004C0F06" w:rsidRPr="00F002E5" w:rsidTr="004C0F06">
        <w:trPr>
          <w:gridBefore w:val="1"/>
          <w:gridAfter w:val="1"/>
          <w:wBefore w:w="4" w:type="pct"/>
          <w:wAfter w:w="40" w:type="pct"/>
          <w:trHeight w:val="344"/>
        </w:trPr>
        <w:tc>
          <w:tcPr>
            <w:tcW w:w="686" w:type="pct"/>
            <w:shd w:val="clear" w:color="auto" w:fill="auto"/>
            <w:tcMar>
              <w:top w:w="80" w:type="dxa"/>
              <w:left w:w="80" w:type="dxa"/>
              <w:bottom w:w="80" w:type="dxa"/>
              <w:right w:w="80" w:type="dxa"/>
            </w:tcMar>
          </w:tcPr>
          <w:p w:rsidR="004C0F06" w:rsidRPr="00F002E5" w:rsidRDefault="004C0F06" w:rsidP="009B59C7">
            <w:pPr>
              <w:pStyle w:val="F"/>
              <w:rPr>
                <w:rFonts w:ascii="Calibri" w:hAnsi="Calibri" w:cs="Calibri"/>
                <w:b/>
                <w:bCs/>
                <w:sz w:val="20"/>
                <w:szCs w:val="20"/>
              </w:rPr>
            </w:pPr>
            <w:bookmarkStart w:id="0" w:name="_GoBack"/>
            <w:r w:rsidRPr="00F002E5">
              <w:rPr>
                <w:rFonts w:ascii="Calibri" w:hAnsi="Calibri" w:cs="Calibri"/>
                <w:b/>
                <w:bCs/>
                <w:sz w:val="20"/>
                <w:szCs w:val="20"/>
              </w:rPr>
              <w:t>3c</w:t>
            </w:r>
          </w:p>
          <w:p w:rsidR="004C0F06" w:rsidRPr="00F002E5" w:rsidRDefault="004C0F06" w:rsidP="009B59C7">
            <w:pPr>
              <w:pStyle w:val="F"/>
              <w:rPr>
                <w:rFonts w:ascii="Calibri" w:hAnsi="Calibri" w:cs="Calibri"/>
                <w:b/>
                <w:bCs/>
                <w:sz w:val="20"/>
                <w:szCs w:val="20"/>
              </w:rPr>
            </w:pPr>
            <w:r w:rsidRPr="00F002E5">
              <w:rPr>
                <w:rFonts w:ascii="Calibri" w:hAnsi="Calibri" w:cs="Calibri"/>
                <w:b/>
                <w:bCs/>
                <w:sz w:val="20"/>
                <w:szCs w:val="20"/>
              </w:rPr>
              <w:t>Engaging Students in Learning</w:t>
            </w:r>
          </w:p>
          <w:p w:rsidR="004C0F06" w:rsidRPr="00F002E5" w:rsidRDefault="004C0F06" w:rsidP="009B59C7">
            <w:pPr>
              <w:pStyle w:val="F"/>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-75063</wp:posOffset>
                      </wp:positionH>
                      <wp:positionV relativeFrom="paragraph">
                        <wp:posOffset>3748892</wp:posOffset>
                      </wp:positionV>
                      <wp:extent cx="8367823" cy="1850065"/>
                      <wp:effectExtent l="0" t="0" r="14605" b="17145"/>
                      <wp:wrapNone/>
                      <wp:docPr id="1" name="Text Box 1"/>
                      <wp:cNvGraphicFramePr/>
                      <a:graphic xmlns:a="http://schemas.openxmlformats.org/drawingml/2006/main">
                        <a:graphicData uri="http://schemas.microsoft.com/office/word/2010/wordprocessingShape">
                          <wps:wsp>
                            <wps:cNvSpPr txBox="1"/>
                            <wps:spPr>
                              <a:xfrm>
                                <a:off x="0" y="0"/>
                                <a:ext cx="8367823" cy="1850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F06" w:rsidRDefault="004C0F06">
                                  <w:r>
                                    <w:t>Evidence</w:t>
                                  </w:r>
                                </w:p>
                                <w:p w:rsidR="004C0F06" w:rsidRDefault="004C0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pt;margin-top:295.2pt;width:658.9pt;height:14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" fillcolor="white [3201]" strokeweight=".5pt">
                      <v:textbox>
                        <w:txbxContent>
                          <w:p w:rsidR="004C0F06" w:rsidRDefault="004C0F06">
                            <w:r>
                              <w:t>Evidence</w:t>
                            </w:r>
                          </w:p>
                          <w:p w:rsidR="004C0F06" w:rsidRDefault="004C0F06"/>
                        </w:txbxContent>
                      </v:textbox>
                    </v:shape>
                  </w:pict>
                </mc:Fallback>
              </mc:AlternateContent>
            </w:r>
          </w:p>
        </w:tc>
        <w:tc>
          <w:tcPr>
            <w:tcW w:w="1075" w:type="pct"/>
            <w:shd w:val="clear" w:color="auto" w:fill="auto"/>
            <w:tcMar>
              <w:top w:w="80" w:type="dxa"/>
              <w:left w:w="80" w:type="dxa"/>
              <w:bottom w:w="80" w:type="dxa"/>
              <w:right w:w="80" w:type="dxa"/>
            </w:tcMar>
          </w:tcPr>
          <w:p w:rsidR="004C0F06" w:rsidRPr="00F002E5" w:rsidRDefault="004C0F06" w:rsidP="004C0F06">
            <w:pPr>
              <w:pStyle w:val="ListParagraph"/>
              <w:numPr>
                <w:ilvl w:val="0"/>
                <w:numId w:val="2"/>
              </w:numPr>
              <w:rPr>
                <w:rFonts w:cs="Calibri"/>
                <w:sz w:val="20"/>
                <w:szCs w:val="20"/>
              </w:rPr>
            </w:pPr>
            <w:r w:rsidRPr="00F002E5">
              <w:rPr>
                <w:rFonts w:cs="Calibri"/>
                <w:sz w:val="20"/>
                <w:szCs w:val="20"/>
              </w:rPr>
              <w:t>The learning tasks and activities, materials, resources, instructional groups and technology are poorly aligned with the instructional outcomes or require only rote responses.</w:t>
            </w:r>
          </w:p>
          <w:p w:rsidR="004C0F06" w:rsidRPr="00F002E5" w:rsidRDefault="004C0F06" w:rsidP="004C0F06">
            <w:pPr>
              <w:pStyle w:val="ListParagraph"/>
              <w:numPr>
                <w:ilvl w:val="0"/>
                <w:numId w:val="2"/>
              </w:numPr>
              <w:rPr>
                <w:rFonts w:cs="Calibri"/>
                <w:sz w:val="20"/>
                <w:szCs w:val="20"/>
              </w:rPr>
            </w:pPr>
            <w:r w:rsidRPr="00F002E5">
              <w:rPr>
                <w:rFonts w:cs="Calibri"/>
                <w:sz w:val="20"/>
                <w:szCs w:val="20"/>
              </w:rPr>
              <w:t>The pace of the lesson is too slow or too rushed.</w:t>
            </w:r>
          </w:p>
          <w:p w:rsidR="004C0F06" w:rsidRPr="00F002E5" w:rsidRDefault="004C0F06" w:rsidP="004C0F06">
            <w:pPr>
              <w:pStyle w:val="ListParagraph"/>
              <w:numPr>
                <w:ilvl w:val="0"/>
                <w:numId w:val="2"/>
              </w:numPr>
              <w:rPr>
                <w:rFonts w:cs="Calibri"/>
                <w:sz w:val="20"/>
                <w:szCs w:val="20"/>
              </w:rPr>
            </w:pPr>
            <w:r w:rsidRPr="00F002E5">
              <w:rPr>
                <w:rFonts w:cs="Calibri"/>
                <w:sz w:val="20"/>
                <w:szCs w:val="20"/>
              </w:rPr>
              <w:t>Few students are intellectually engaged or interested.</w:t>
            </w:r>
          </w:p>
        </w:tc>
        <w:tc>
          <w:tcPr>
            <w:tcW w:w="1079" w:type="pct"/>
            <w:shd w:val="clear" w:color="auto" w:fill="auto"/>
            <w:tcMar>
              <w:top w:w="80" w:type="dxa"/>
              <w:left w:w="80" w:type="dxa"/>
              <w:bottom w:w="80" w:type="dxa"/>
              <w:right w:w="80" w:type="dxa"/>
            </w:tcMar>
          </w:tcPr>
          <w:p w:rsidR="004C0F06" w:rsidRPr="00F002E5" w:rsidRDefault="004C0F06" w:rsidP="004C0F06">
            <w:pPr>
              <w:pStyle w:val="ListParagraph"/>
              <w:numPr>
                <w:ilvl w:val="0"/>
                <w:numId w:val="1"/>
              </w:numPr>
              <w:rPr>
                <w:rFonts w:cs="Calibri"/>
                <w:sz w:val="20"/>
                <w:szCs w:val="20"/>
              </w:rPr>
            </w:pPr>
            <w:r w:rsidRPr="00F002E5">
              <w:rPr>
                <w:rFonts w:cs="Calibri"/>
                <w:sz w:val="20"/>
                <w:szCs w:val="20"/>
              </w:rPr>
              <w:t>The learning tasks and activities are partially aligned with the instructional outcomes but require only minimal thinking by students, allowing most to be passive or merely compliant.</w:t>
            </w:r>
          </w:p>
          <w:p w:rsidR="004C0F06" w:rsidRPr="00F002E5" w:rsidRDefault="004C0F06" w:rsidP="004C0F06">
            <w:pPr>
              <w:pStyle w:val="ListParagraph"/>
              <w:numPr>
                <w:ilvl w:val="0"/>
                <w:numId w:val="1"/>
              </w:numPr>
              <w:rPr>
                <w:rFonts w:cs="Calibri"/>
                <w:sz w:val="20"/>
                <w:szCs w:val="20"/>
              </w:rPr>
            </w:pPr>
            <w:r w:rsidRPr="00F002E5">
              <w:rPr>
                <w:rFonts w:cs="Calibri"/>
                <w:sz w:val="20"/>
                <w:szCs w:val="20"/>
              </w:rPr>
              <w:t>The pacing of the lesson may not provide students the time needed to be intellectually engaged.</w:t>
            </w:r>
          </w:p>
        </w:tc>
        <w:tc>
          <w:tcPr>
            <w:tcW w:w="1078" w:type="pct"/>
            <w:shd w:val="clear" w:color="auto" w:fill="auto"/>
            <w:tcMar>
              <w:top w:w="80" w:type="dxa"/>
              <w:left w:w="80" w:type="dxa"/>
              <w:bottom w:w="80" w:type="dxa"/>
              <w:right w:w="80" w:type="dxa"/>
            </w:tcMar>
          </w:tcPr>
          <w:p w:rsidR="004C0F06" w:rsidRPr="00F002E5" w:rsidRDefault="004C0F06" w:rsidP="004C0F06">
            <w:pPr>
              <w:pStyle w:val="ListParagraph"/>
              <w:numPr>
                <w:ilvl w:val="0"/>
                <w:numId w:val="1"/>
              </w:numPr>
              <w:rPr>
                <w:rFonts w:cs="Calibri"/>
                <w:sz w:val="20"/>
                <w:szCs w:val="20"/>
              </w:rPr>
            </w:pPr>
            <w:r w:rsidRPr="00F002E5">
              <w:rPr>
                <w:rFonts w:cs="Calibri"/>
                <w:sz w:val="20"/>
                <w:szCs w:val="20"/>
              </w:rPr>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rsidR="004C0F06" w:rsidRPr="00F002E5" w:rsidRDefault="004C0F06" w:rsidP="004C0F06">
            <w:pPr>
              <w:pStyle w:val="ListParagraph"/>
              <w:numPr>
                <w:ilvl w:val="0"/>
                <w:numId w:val="1"/>
              </w:numPr>
              <w:rPr>
                <w:rFonts w:cs="Calibri"/>
                <w:sz w:val="20"/>
                <w:szCs w:val="20"/>
              </w:rPr>
            </w:pPr>
            <w:r w:rsidRPr="00F002E5">
              <w:rPr>
                <w:rFonts w:cs="Calibri"/>
                <w:sz w:val="20"/>
                <w:szCs w:val="20"/>
              </w:rPr>
              <w:t>The pacing of the lesson is appropriate, providing most students the time needed to be intellectually engaged.</w:t>
            </w:r>
          </w:p>
        </w:tc>
        <w:tc>
          <w:tcPr>
            <w:tcW w:w="1038" w:type="pct"/>
            <w:shd w:val="clear" w:color="auto" w:fill="auto"/>
            <w:tcMar>
              <w:top w:w="80" w:type="dxa"/>
              <w:left w:w="80" w:type="dxa"/>
              <w:bottom w:w="80" w:type="dxa"/>
              <w:right w:w="80" w:type="dxa"/>
            </w:tcMar>
          </w:tcPr>
          <w:p w:rsidR="004C0F06" w:rsidRPr="00F002E5" w:rsidRDefault="004C0F06" w:rsidP="004C0F06">
            <w:pPr>
              <w:pStyle w:val="ListParagraph"/>
              <w:numPr>
                <w:ilvl w:val="0"/>
                <w:numId w:val="1"/>
              </w:numPr>
              <w:rPr>
                <w:rFonts w:cs="Calibri"/>
                <w:sz w:val="20"/>
                <w:szCs w:val="20"/>
              </w:rPr>
            </w:pPr>
            <w:r w:rsidRPr="00F002E5">
              <w:rPr>
                <w:rFonts w:cs="Calibri"/>
                <w:sz w:val="20"/>
                <w:szCs w:val="20"/>
              </w:rPr>
              <w:t>Virtually all students are intellectually engaged in challenging content through well-designed learning tasks and suitable scaffolding by the teacher and fully aligned with the instructional outcomes.</w:t>
            </w:r>
          </w:p>
          <w:p w:rsidR="004C0F06" w:rsidRPr="00F002E5" w:rsidRDefault="004C0F06" w:rsidP="004C0F06">
            <w:pPr>
              <w:pStyle w:val="ListParagraph"/>
              <w:numPr>
                <w:ilvl w:val="0"/>
                <w:numId w:val="1"/>
              </w:numPr>
              <w:rPr>
                <w:rFonts w:cs="Calibri"/>
                <w:sz w:val="20"/>
                <w:szCs w:val="20"/>
              </w:rPr>
            </w:pPr>
            <w:r w:rsidRPr="00F002E5">
              <w:rPr>
                <w:rFonts w:cs="Calibri"/>
                <w:sz w:val="20"/>
                <w:szCs w:val="20"/>
              </w:rPr>
              <w:t>In addition, there is evidence of some student initiation of inquiry and of student contribution to the exploration of important content.</w:t>
            </w:r>
          </w:p>
          <w:p w:rsidR="004C0F06" w:rsidRPr="00F002E5" w:rsidRDefault="004C0F06" w:rsidP="004C0F06">
            <w:pPr>
              <w:pStyle w:val="ListParagraph"/>
              <w:numPr>
                <w:ilvl w:val="0"/>
                <w:numId w:val="1"/>
              </w:numPr>
              <w:rPr>
                <w:rFonts w:cs="Calibri"/>
                <w:sz w:val="20"/>
                <w:szCs w:val="20"/>
              </w:rPr>
            </w:pPr>
            <w:r w:rsidRPr="00F002E5">
              <w:rPr>
                <w:rFonts w:cs="Calibri"/>
                <w:sz w:val="20"/>
                <w:szCs w:val="20"/>
              </w:rPr>
              <w:t>The pacing of the lesson provides students the time needed to intellectually engage with and reflect upon their learning and to consolidate their understanding.</w:t>
            </w:r>
          </w:p>
          <w:p w:rsidR="004C0F06" w:rsidRPr="00F002E5" w:rsidRDefault="004C0F06" w:rsidP="004C0F06">
            <w:pPr>
              <w:pStyle w:val="ListParagraph"/>
              <w:numPr>
                <w:ilvl w:val="0"/>
                <w:numId w:val="1"/>
              </w:numPr>
              <w:rPr>
                <w:rFonts w:cs="Calibri"/>
                <w:sz w:val="20"/>
                <w:szCs w:val="20"/>
              </w:rPr>
            </w:pPr>
            <w:r w:rsidRPr="00F002E5">
              <w:rPr>
                <w:rFonts w:cs="Calibri"/>
                <w:sz w:val="20"/>
                <w:szCs w:val="20"/>
              </w:rPr>
              <w:t>Students may have some choice in how they complete tasks and may serve as resources for one another.</w:t>
            </w:r>
          </w:p>
        </w:tc>
      </w:tr>
      <w:bookmarkEnd w:id="0"/>
      <w:tr w:rsidR="004C0F06" w:rsidRPr="00F002E5" w:rsidTr="004C0F06">
        <w:trPr>
          <w:gridAfter w:val="1"/>
          <w:wAfter w:w="40" w:type="pct"/>
          <w:trHeight w:hRule="exact" w:val="2404"/>
        </w:trPr>
        <w:tc>
          <w:tcPr>
            <w:tcW w:w="4960" w:type="pct"/>
            <w:gridSpan w:val="6"/>
            <w:shd w:val="clear" w:color="auto" w:fill="auto"/>
            <w:tcMar>
              <w:top w:w="144" w:type="dxa"/>
              <w:left w:w="144" w:type="dxa"/>
              <w:bottom w:w="144" w:type="dxa"/>
              <w:right w:w="144" w:type="dxa"/>
            </w:tcMar>
          </w:tcPr>
          <w:p w:rsidR="004C0F06" w:rsidRPr="00F002E5" w:rsidRDefault="004C0F06" w:rsidP="004C0F06">
            <w:pPr>
              <w:pStyle w:val="FArial"/>
              <w:ind w:right="-1619"/>
              <w:rPr>
                <w:rFonts w:cs="Calibri"/>
                <w:sz w:val="20"/>
                <w:szCs w:val="20"/>
              </w:rPr>
            </w:pPr>
          </w:p>
          <w:p w:rsidR="004C0F06" w:rsidRPr="00F002E5" w:rsidRDefault="004C0F06" w:rsidP="009B59C7">
            <w:pPr>
              <w:tabs>
                <w:tab w:val="left" w:pos="1080"/>
                <w:tab w:val="left" w:pos="2269"/>
                <w:tab w:val="left" w:pos="3608"/>
                <w:tab w:val="left" w:pos="4975"/>
                <w:tab w:val="left" w:pos="5841"/>
              </w:tabs>
              <w:autoSpaceDE w:val="0"/>
              <w:autoSpaceDN w:val="0"/>
              <w:adjustRightInd w:val="0"/>
              <w:spacing w:line="220" w:lineRule="atLeast"/>
              <w:ind w:right="-1619"/>
              <w:textAlignment w:val="center"/>
              <w:rPr>
                <w:rFonts w:cs="Calibri"/>
                <w:color w:val="000000"/>
                <w:sz w:val="20"/>
                <w:szCs w:val="20"/>
              </w:rPr>
            </w:pPr>
          </w:p>
          <w:p w:rsidR="004C0F06" w:rsidRPr="00F002E5" w:rsidRDefault="004C0F06" w:rsidP="009B59C7">
            <w:pPr>
              <w:tabs>
                <w:tab w:val="left" w:pos="1080"/>
                <w:tab w:val="left" w:pos="2269"/>
                <w:tab w:val="left" w:pos="3608"/>
                <w:tab w:val="left" w:pos="4975"/>
                <w:tab w:val="left" w:pos="5841"/>
              </w:tabs>
              <w:autoSpaceDE w:val="0"/>
              <w:autoSpaceDN w:val="0"/>
              <w:adjustRightInd w:val="0"/>
              <w:spacing w:line="220" w:lineRule="atLeast"/>
              <w:ind w:right="-1619"/>
              <w:textAlignment w:val="center"/>
              <w:rPr>
                <w:rFonts w:cs="Calibri"/>
                <w:color w:val="000000"/>
                <w:sz w:val="20"/>
                <w:szCs w:val="20"/>
              </w:rPr>
            </w:pPr>
          </w:p>
          <w:p w:rsidR="004C0F06" w:rsidRPr="00F002E5" w:rsidRDefault="004C0F06" w:rsidP="009B59C7">
            <w:pPr>
              <w:tabs>
                <w:tab w:val="left" w:pos="1080"/>
                <w:tab w:val="left" w:pos="2269"/>
                <w:tab w:val="left" w:pos="3608"/>
                <w:tab w:val="left" w:pos="4975"/>
                <w:tab w:val="left" w:pos="5841"/>
              </w:tabs>
              <w:autoSpaceDE w:val="0"/>
              <w:autoSpaceDN w:val="0"/>
              <w:adjustRightInd w:val="0"/>
              <w:spacing w:line="220" w:lineRule="atLeast"/>
              <w:ind w:right="-1619"/>
              <w:textAlignment w:val="center"/>
              <w:rPr>
                <w:rFonts w:cs="Calibri"/>
                <w:color w:val="000000"/>
                <w:sz w:val="20"/>
                <w:szCs w:val="20"/>
              </w:rPr>
            </w:pPr>
          </w:p>
        </w:tc>
      </w:tr>
    </w:tbl>
    <w:p w:rsidR="008E494C" w:rsidRPr="004C0F06" w:rsidRDefault="004C0F06" w:rsidP="004C0F06"/>
    <w:sectPr w:rsidR="008E494C" w:rsidRPr="004C0F06" w:rsidSect="004C0F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1851"/>
    <w:multiLevelType w:val="hybridMultilevel"/>
    <w:tmpl w:val="31C6F8A4"/>
    <w:lvl w:ilvl="0" w:tplc="BF6407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06"/>
    <w:rsid w:val="00432400"/>
    <w:rsid w:val="004C0F06"/>
    <w:rsid w:val="0055155B"/>
    <w:rsid w:val="00E5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06"/>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4C0F06"/>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eastAsia="Times New Roman" w:hAnsi="Gill Sans Std" w:cs="Gill Sans Std"/>
      <w:color w:val="000000"/>
      <w:sz w:val="18"/>
      <w:szCs w:val="18"/>
    </w:rPr>
  </w:style>
  <w:style w:type="character" w:customStyle="1" w:styleId="FChar">
    <w:name w:val="F Char"/>
    <w:link w:val="F"/>
    <w:rsid w:val="004C0F06"/>
    <w:rPr>
      <w:rFonts w:ascii="Gill Sans Std" w:eastAsia="Times New Roman" w:hAnsi="Gill Sans Std" w:cs="Gill Sans Std"/>
      <w:color w:val="000000"/>
      <w:sz w:val="18"/>
      <w:szCs w:val="18"/>
    </w:rPr>
  </w:style>
  <w:style w:type="paragraph" w:customStyle="1" w:styleId="FArial">
    <w:name w:val="F + Arial"/>
    <w:aliases w:val="8pt Italic v"/>
    <w:basedOn w:val="Normal"/>
    <w:rsid w:val="004C0F06"/>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eastAsia="Times New Roman" w:hAnsi="Arial" w:cs="Gill Sans Std"/>
      <w:i/>
      <w:iCs/>
      <w:color w:val="000000"/>
      <w:sz w:val="16"/>
      <w:szCs w:val="18"/>
    </w:rPr>
  </w:style>
  <w:style w:type="paragraph" w:styleId="ListParagraph">
    <w:name w:val="List Paragraph"/>
    <w:basedOn w:val="Normal"/>
    <w:uiPriority w:val="34"/>
    <w:qFormat/>
    <w:rsid w:val="004C0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06"/>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4C0F06"/>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eastAsia="Times New Roman" w:hAnsi="Gill Sans Std" w:cs="Gill Sans Std"/>
      <w:color w:val="000000"/>
      <w:sz w:val="18"/>
      <w:szCs w:val="18"/>
    </w:rPr>
  </w:style>
  <w:style w:type="character" w:customStyle="1" w:styleId="FChar">
    <w:name w:val="F Char"/>
    <w:link w:val="F"/>
    <w:rsid w:val="004C0F06"/>
    <w:rPr>
      <w:rFonts w:ascii="Gill Sans Std" w:eastAsia="Times New Roman" w:hAnsi="Gill Sans Std" w:cs="Gill Sans Std"/>
      <w:color w:val="000000"/>
      <w:sz w:val="18"/>
      <w:szCs w:val="18"/>
    </w:rPr>
  </w:style>
  <w:style w:type="paragraph" w:customStyle="1" w:styleId="FArial">
    <w:name w:val="F + Arial"/>
    <w:aliases w:val="8pt Italic v"/>
    <w:basedOn w:val="Normal"/>
    <w:rsid w:val="004C0F06"/>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eastAsia="Times New Roman" w:hAnsi="Arial" w:cs="Gill Sans Std"/>
      <w:i/>
      <w:iCs/>
      <w:color w:val="000000"/>
      <w:sz w:val="16"/>
      <w:szCs w:val="18"/>
    </w:rPr>
  </w:style>
  <w:style w:type="paragraph" w:styleId="ListParagraph">
    <w:name w:val="List Paragraph"/>
    <w:basedOn w:val="Normal"/>
    <w:uiPriority w:val="34"/>
    <w:qFormat/>
    <w:rsid w:val="004C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Stacy L - Office of Next Generation Learners</dc:creator>
  <cp:lastModifiedBy>Noah, Stacy L - Office of Next Generation Learners</cp:lastModifiedBy>
  <cp:revision>1</cp:revision>
  <dcterms:created xsi:type="dcterms:W3CDTF">2013-03-19T17:32:00Z</dcterms:created>
  <dcterms:modified xsi:type="dcterms:W3CDTF">2013-03-19T17:35:00Z</dcterms:modified>
</cp:coreProperties>
</file>