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EA2" w:rsidRDefault="00693BB5">
      <w:pPr>
        <w:rPr>
          <w:rFonts w:ascii="Britannic Bold" w:hAnsi="Britannic Bold"/>
          <w:sz w:val="28"/>
          <w:szCs w:val="28"/>
        </w:rPr>
      </w:pPr>
      <w:r w:rsidRPr="00693BB5">
        <w:rPr>
          <w:rFonts w:ascii="Britannic Bold" w:hAnsi="Britannic Bold"/>
          <w:noProof/>
          <w:color w:val="C00000"/>
          <w:sz w:val="28"/>
          <w:szCs w:val="28"/>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31" type="#_x0000_t72" style="position:absolute;margin-left:499.15pt;margin-top:14.2pt;width:229.2pt;height:207.25pt;rotation:1713086fd;z-index:251671040"/>
        </w:pict>
      </w:r>
      <w:r w:rsidRPr="00693BB5">
        <w:rPr>
          <w:noProof/>
        </w:rPr>
        <w:pict>
          <v:shapetype id="_x0000_t202" coordsize="21600,21600" o:spt="202" path="m,l,21600r21600,l21600,xe">
            <v:stroke joinstyle="miter"/>
            <v:path gradientshapeok="t" o:connecttype="rect"/>
          </v:shapetype>
          <v:shape id="_x0000_s1026" type="#_x0000_t202" style="position:absolute;margin-left:27pt;margin-top:9pt;width:180pt;height:26.7pt;z-index:251647488" fillcolor="#f2f2f2 [3052]" strokeweight="2.25pt">
            <v:textbox style="mso-next-textbox:#_x0000_s1026">
              <w:txbxContent>
                <w:p w:rsidR="006B17F7" w:rsidRPr="00C63EA2" w:rsidRDefault="004013D0" w:rsidP="00C63EA2">
                  <w:pPr>
                    <w:jc w:val="center"/>
                    <w:rPr>
                      <w:rFonts w:ascii="Britannic Bold" w:hAnsi="Britannic Bold"/>
                      <w:sz w:val="28"/>
                      <w:szCs w:val="28"/>
                    </w:rPr>
                  </w:pPr>
                  <w:r>
                    <w:rPr>
                      <w:rFonts w:ascii="Britannic Bold" w:hAnsi="Britannic Bold"/>
                      <w:sz w:val="28"/>
                      <w:szCs w:val="28"/>
                    </w:rPr>
                    <w:t>Chapter 3</w:t>
                  </w:r>
                  <w:r w:rsidR="006B17F7">
                    <w:rPr>
                      <w:rFonts w:ascii="Britannic Bold" w:hAnsi="Britannic Bold"/>
                      <w:sz w:val="28"/>
                      <w:szCs w:val="28"/>
                    </w:rPr>
                    <w:tab/>
                  </w:r>
                  <w:r w:rsidR="006B17F7">
                    <w:rPr>
                      <w:rFonts w:ascii="Britannic Bold" w:hAnsi="Britannic Bold"/>
                      <w:sz w:val="28"/>
                      <w:szCs w:val="28"/>
                    </w:rPr>
                    <w:tab/>
                  </w:r>
                  <w:r w:rsidR="006B17F7">
                    <w:rPr>
                      <w:rFonts w:ascii="Britannic Bold" w:hAnsi="Britannic Bold"/>
                      <w:sz w:val="28"/>
                      <w:szCs w:val="28"/>
                    </w:rPr>
                    <w:tab/>
                  </w:r>
                  <w:r w:rsidR="006B17F7">
                    <w:rPr>
                      <w:rFonts w:ascii="Britannic Bold" w:hAnsi="Britannic Bold"/>
                      <w:sz w:val="28"/>
                      <w:szCs w:val="28"/>
                    </w:rPr>
                    <w:tab/>
                  </w:r>
                  <w:r w:rsidR="006B17F7">
                    <w:rPr>
                      <w:rFonts w:ascii="Britannic Bold" w:hAnsi="Britannic Bold"/>
                      <w:sz w:val="28"/>
                      <w:szCs w:val="28"/>
                    </w:rPr>
                    <w:tab/>
                  </w:r>
                  <w:r w:rsidR="006B17F7">
                    <w:rPr>
                      <w:rFonts w:ascii="Britannic Bold" w:hAnsi="Britannic Bold"/>
                      <w:sz w:val="28"/>
                      <w:szCs w:val="28"/>
                    </w:rPr>
                    <w:tab/>
                  </w:r>
                  <w:r w:rsidR="006B17F7">
                    <w:rPr>
                      <w:rFonts w:ascii="Britannic Bold" w:hAnsi="Britannic Bold"/>
                      <w:sz w:val="28"/>
                      <w:szCs w:val="28"/>
                    </w:rPr>
                    <w:tab/>
                  </w:r>
                  <w:r w:rsidR="006B17F7">
                    <w:rPr>
                      <w:rFonts w:ascii="Britannic Bold" w:hAnsi="Britannic Bold"/>
                      <w:sz w:val="28"/>
                      <w:szCs w:val="28"/>
                    </w:rPr>
                    <w:tab/>
                  </w:r>
                  <w:r w:rsidR="006B17F7">
                    <w:rPr>
                      <w:rFonts w:ascii="Britannic Bold" w:hAnsi="Britannic Bold"/>
                      <w:sz w:val="28"/>
                      <w:szCs w:val="28"/>
                    </w:rPr>
                    <w:tab/>
                  </w:r>
                  <w:r w:rsidR="006B17F7">
                    <w:rPr>
                      <w:rFonts w:ascii="Britannic Bold" w:hAnsi="Britannic Bold"/>
                      <w:sz w:val="28"/>
                      <w:szCs w:val="28"/>
                    </w:rPr>
                    <w:tab/>
                  </w:r>
                </w:p>
              </w:txbxContent>
            </v:textbox>
          </v:shape>
        </w:pict>
      </w:r>
      <w:r w:rsidR="004E7E4E">
        <w:rPr>
          <w:rFonts w:ascii="Britannic Bold" w:hAnsi="Britannic Bold"/>
          <w:sz w:val="28"/>
          <w:szCs w:val="28"/>
        </w:rPr>
        <w:t xml:space="preserve">                                                                                                                      </w:t>
      </w:r>
      <w:r w:rsidR="001B3362">
        <w:rPr>
          <w:rFonts w:ascii="Britannic Bold" w:hAnsi="Britannic Bold"/>
          <w:sz w:val="28"/>
          <w:szCs w:val="28"/>
        </w:rPr>
        <w:t xml:space="preserve">  </w:t>
      </w:r>
      <w:r w:rsidR="004E7E4E">
        <w:rPr>
          <w:rFonts w:ascii="Britannic Bold" w:hAnsi="Britannic Bold"/>
          <w:sz w:val="28"/>
          <w:szCs w:val="28"/>
        </w:rPr>
        <w:t>My big take-away from this chapter</w:t>
      </w:r>
      <w:r w:rsidR="001B3362">
        <w:rPr>
          <w:rFonts w:ascii="Britannic Bold" w:hAnsi="Britannic Bold"/>
          <w:sz w:val="28"/>
          <w:szCs w:val="28"/>
        </w:rPr>
        <w:t>:</w:t>
      </w:r>
    </w:p>
    <w:p w:rsidR="00C63EA2" w:rsidRDefault="00C63EA2">
      <w:pPr>
        <w:rPr>
          <w:rFonts w:ascii="Britannic Bold" w:hAnsi="Britannic Bold"/>
          <w:sz w:val="28"/>
          <w:szCs w:val="28"/>
        </w:rPr>
      </w:pPr>
    </w:p>
    <w:p w:rsidR="00C63EA2" w:rsidRDefault="00693BB5">
      <w:pPr>
        <w:rPr>
          <w:rFonts w:ascii="Britannic Bold" w:hAnsi="Britannic Bold"/>
          <w:sz w:val="28"/>
          <w:szCs w:val="28"/>
        </w:rPr>
      </w:pPr>
      <w:r>
        <w:rPr>
          <w:rFonts w:ascii="Britannic Bold" w:hAnsi="Britannic Bold"/>
          <w:noProof/>
          <w:sz w:val="28"/>
          <w:szCs w:val="28"/>
        </w:rPr>
        <w:pict>
          <v:line id="_x0000_s1030" style="position:absolute;z-index:251654656" from="315pt,14pt" to="477pt,14pt"/>
        </w:pict>
      </w:r>
      <w:r w:rsidR="009C3FE1">
        <w:rPr>
          <w:rFonts w:ascii="Britannic Bold" w:hAnsi="Britannic Bold"/>
          <w:sz w:val="28"/>
          <w:szCs w:val="28"/>
        </w:rPr>
        <w:tab/>
      </w:r>
      <w:r w:rsidR="009C3FE1">
        <w:rPr>
          <w:rFonts w:ascii="Britannic Bold" w:hAnsi="Britannic Bold"/>
          <w:sz w:val="28"/>
          <w:szCs w:val="28"/>
        </w:rPr>
        <w:tab/>
      </w:r>
      <w:r w:rsidR="009C3FE1">
        <w:rPr>
          <w:rFonts w:ascii="Britannic Bold" w:hAnsi="Britannic Bold"/>
          <w:sz w:val="28"/>
          <w:szCs w:val="28"/>
        </w:rPr>
        <w:tab/>
      </w:r>
      <w:r w:rsidR="009C3FE1">
        <w:rPr>
          <w:rFonts w:ascii="Britannic Bold" w:hAnsi="Britannic Bold"/>
          <w:sz w:val="28"/>
          <w:szCs w:val="28"/>
        </w:rPr>
        <w:tab/>
      </w:r>
      <w:r w:rsidR="009C3FE1">
        <w:rPr>
          <w:rFonts w:ascii="Britannic Bold" w:hAnsi="Britannic Bold"/>
          <w:sz w:val="28"/>
          <w:szCs w:val="28"/>
        </w:rPr>
        <w:tab/>
      </w:r>
      <w:r w:rsidR="009C3FE1">
        <w:rPr>
          <w:rFonts w:ascii="Britannic Bold" w:hAnsi="Britannic Bold"/>
          <w:sz w:val="28"/>
          <w:szCs w:val="28"/>
        </w:rPr>
        <w:tab/>
      </w:r>
      <w:r w:rsidR="009C3FE1">
        <w:rPr>
          <w:rFonts w:ascii="Britannic Bold" w:hAnsi="Britannic Bold"/>
          <w:sz w:val="28"/>
          <w:szCs w:val="28"/>
        </w:rPr>
        <w:tab/>
        <w:t xml:space="preserve"> </w:t>
      </w:r>
    </w:p>
    <w:p w:rsidR="00C63EA2" w:rsidRDefault="00693BB5">
      <w:pPr>
        <w:rPr>
          <w:rFonts w:ascii="Britannic Bold" w:hAnsi="Britannic Bold"/>
          <w:sz w:val="28"/>
          <w:szCs w:val="28"/>
        </w:rPr>
      </w:pPr>
      <w:r>
        <w:rPr>
          <w:rFonts w:ascii="Britannic Bold" w:hAnsi="Britannic Bold"/>
          <w:noProof/>
          <w:sz w:val="28"/>
          <w:szCs w:val="28"/>
        </w:rPr>
        <w:pict>
          <v:shape id="_x0000_s1029" type="#_x0000_t202" style="position:absolute;margin-left:513pt;margin-top:7.45pt;width:162pt;height:99pt;z-index:251653632" filled="f" stroked="f">
            <v:textbox style="mso-next-textbox:#_x0000_s1029">
              <w:txbxContent>
                <w:p w:rsidR="006B17F7" w:rsidRDefault="006B17F7" w:rsidP="009C3FE1">
                  <w:pPr>
                    <w:jc w:val="center"/>
                    <w:rPr>
                      <w:rFonts w:ascii="Berlin Sans FB" w:hAnsi="Berlin Sans FB"/>
                      <w:u w:val="single"/>
                    </w:rPr>
                  </w:pPr>
                </w:p>
                <w:p w:rsidR="006B17F7" w:rsidRPr="009C3FE1" w:rsidRDefault="006B17F7" w:rsidP="009C3FE1">
                  <w:pPr>
                    <w:jc w:val="center"/>
                    <w:rPr>
                      <w:rFonts w:ascii="Berlin Sans FB" w:hAnsi="Berlin Sans FB"/>
                      <w:u w:val="single"/>
                    </w:rPr>
                  </w:pPr>
                </w:p>
              </w:txbxContent>
            </v:textbox>
          </v:shape>
        </w:pict>
      </w:r>
    </w:p>
    <w:p w:rsidR="00C63EA2" w:rsidRDefault="001B3362">
      <w:pPr>
        <w:rPr>
          <w:rFonts w:ascii="Britannic Bold" w:hAnsi="Britannic Bold"/>
          <w:sz w:val="28"/>
          <w:szCs w:val="28"/>
        </w:rPr>
      </w:pPr>
      <w:r>
        <w:rPr>
          <w:rFonts w:ascii="Britannic Bold" w:hAnsi="Britannic Bold"/>
          <w:sz w:val="28"/>
          <w:szCs w:val="28"/>
        </w:rPr>
        <w:t xml:space="preserve">   </w:t>
      </w:r>
      <w:r w:rsidR="009C3FE1">
        <w:rPr>
          <w:rFonts w:ascii="Britannic Bold" w:hAnsi="Britannic Bold"/>
          <w:sz w:val="28"/>
          <w:szCs w:val="28"/>
        </w:rPr>
        <w:t xml:space="preserve">Key </w:t>
      </w:r>
      <w:r w:rsidR="00FE4041">
        <w:rPr>
          <w:rFonts w:ascii="Britannic Bold" w:hAnsi="Britannic Bold"/>
          <w:sz w:val="28"/>
          <w:szCs w:val="28"/>
        </w:rPr>
        <w:t>Concepts</w:t>
      </w:r>
      <w:r w:rsidR="009C3FE1">
        <w:rPr>
          <w:rFonts w:ascii="Britannic Bold" w:hAnsi="Britannic Bold"/>
          <w:sz w:val="28"/>
          <w:szCs w:val="28"/>
        </w:rPr>
        <w:t>:</w:t>
      </w:r>
      <w:r w:rsidR="009C3FE1">
        <w:rPr>
          <w:rFonts w:ascii="Britannic Bold" w:hAnsi="Britannic Bold"/>
          <w:sz w:val="28"/>
          <w:szCs w:val="28"/>
        </w:rPr>
        <w:tab/>
      </w:r>
      <w:r w:rsidR="009C3FE1">
        <w:rPr>
          <w:rFonts w:ascii="Britannic Bold" w:hAnsi="Britannic Bold"/>
          <w:sz w:val="28"/>
          <w:szCs w:val="28"/>
        </w:rPr>
        <w:tab/>
      </w:r>
      <w:r w:rsidR="009C3FE1">
        <w:rPr>
          <w:rFonts w:ascii="Britannic Bold" w:hAnsi="Britannic Bold"/>
          <w:sz w:val="28"/>
          <w:szCs w:val="28"/>
        </w:rPr>
        <w:tab/>
      </w:r>
      <w:r w:rsidR="009C3FE1">
        <w:rPr>
          <w:rFonts w:ascii="Britannic Bold" w:hAnsi="Britannic Bold"/>
          <w:sz w:val="28"/>
          <w:szCs w:val="28"/>
        </w:rPr>
        <w:tab/>
      </w:r>
      <w:r w:rsidR="009C3FE1">
        <w:rPr>
          <w:rFonts w:ascii="Britannic Bold" w:hAnsi="Britannic Bold"/>
          <w:sz w:val="28"/>
          <w:szCs w:val="28"/>
        </w:rPr>
        <w:tab/>
      </w:r>
      <w:r w:rsidR="009C3FE1">
        <w:rPr>
          <w:rFonts w:ascii="Britannic Bold" w:hAnsi="Britannic Bold"/>
          <w:sz w:val="28"/>
          <w:szCs w:val="28"/>
        </w:rPr>
        <w:tab/>
      </w:r>
      <w:r w:rsidR="009C3FE1">
        <w:rPr>
          <w:rFonts w:ascii="Britannic Bold" w:hAnsi="Britannic Bold"/>
          <w:sz w:val="28"/>
          <w:szCs w:val="28"/>
        </w:rPr>
        <w:tab/>
      </w:r>
      <w:r w:rsidR="009C3FE1">
        <w:rPr>
          <w:rFonts w:ascii="Britannic Bold" w:hAnsi="Britannic Bold"/>
          <w:sz w:val="28"/>
          <w:szCs w:val="28"/>
        </w:rPr>
        <w:tab/>
      </w:r>
    </w:p>
    <w:p w:rsidR="009C3FE1" w:rsidRDefault="00693BB5">
      <w:pPr>
        <w:rPr>
          <w:rFonts w:ascii="Britannic Bold" w:hAnsi="Britannic Bold"/>
          <w:sz w:val="28"/>
          <w:szCs w:val="28"/>
        </w:rPr>
      </w:pPr>
      <w:r>
        <w:rPr>
          <w:rFonts w:ascii="Britannic Bold" w:hAnsi="Britannic Bold"/>
          <w:noProof/>
          <w:sz w:val="28"/>
          <w:szCs w:val="28"/>
        </w:rPr>
        <w:pict>
          <v:shape id="_x0000_s1027" type="#_x0000_t202" style="position:absolute;margin-left:9pt;margin-top:6.4pt;width:265pt;height:88.1pt;z-index:251650560" strokeweight="4.5pt">
            <v:stroke linestyle="thinThick"/>
            <v:textbox style="mso-next-textbox:#_x0000_s1027">
              <w:txbxContent>
                <w:p w:rsidR="006B17F7" w:rsidRPr="00C63EA2" w:rsidRDefault="00EF56CA" w:rsidP="00EF56CA">
                  <w:pPr>
                    <w:rPr>
                      <w:rFonts w:ascii="Britannic Bold" w:hAnsi="Britannic Bold"/>
                      <w:sz w:val="28"/>
                      <w:szCs w:val="28"/>
                    </w:rPr>
                  </w:pPr>
                  <w:r>
                    <w:rPr>
                      <w:rFonts w:asciiTheme="minorHAnsi" w:hAnsiTheme="minorHAnsi"/>
                      <w:i/>
                      <w:iCs/>
                      <w:color w:val="000000" w:themeColor="text1"/>
                    </w:rPr>
                    <w:t>Chapter 3</w:t>
                  </w:r>
                  <w:r w:rsidR="006B17F7">
                    <w:rPr>
                      <w:rFonts w:asciiTheme="minorHAnsi" w:hAnsiTheme="minorHAnsi"/>
                      <w:i/>
                      <w:iCs/>
                      <w:color w:val="000000" w:themeColor="text1"/>
                    </w:rPr>
                    <w:t xml:space="preserve"> </w:t>
                  </w:r>
                  <w:r w:rsidR="006E5248">
                    <w:rPr>
                      <w:rFonts w:asciiTheme="minorHAnsi" w:hAnsiTheme="minorHAnsi"/>
                      <w:i/>
                      <w:iCs/>
                      <w:color w:val="000000" w:themeColor="text1"/>
                    </w:rPr>
                    <w:t xml:space="preserve">ensures that teachers </w:t>
                  </w:r>
                  <w:r w:rsidR="006D7723">
                    <w:rPr>
                      <w:rFonts w:asciiTheme="minorHAnsi" w:hAnsiTheme="minorHAnsi"/>
                      <w:i/>
                      <w:iCs/>
                      <w:color w:val="000000" w:themeColor="text1"/>
                    </w:rPr>
                    <w:t xml:space="preserve">understand the value of student and parent-friendly learning targets.  </w:t>
                  </w:r>
                  <w:r>
                    <w:rPr>
                      <w:rFonts w:asciiTheme="minorHAnsi" w:hAnsiTheme="minorHAnsi"/>
                      <w:i/>
                      <w:iCs/>
                      <w:color w:val="000000" w:themeColor="text1"/>
                    </w:rPr>
                    <w:t xml:space="preserve">The essential relationships between standards, learning targets and assessments are explained and examples provided. </w:t>
                  </w:r>
                </w:p>
              </w:txbxContent>
            </v:textbox>
          </v:shape>
        </w:pict>
      </w:r>
    </w:p>
    <w:p w:rsidR="009C3FE1" w:rsidRDefault="009C3FE1">
      <w:pPr>
        <w:rPr>
          <w:rFonts w:ascii="Britannic Bold" w:hAnsi="Britannic Bold"/>
          <w:sz w:val="28"/>
          <w:szCs w:val="28"/>
        </w:rPr>
      </w:pPr>
      <w:r>
        <w:rPr>
          <w:rFonts w:ascii="Britannic Bold" w:hAnsi="Britannic Bold"/>
          <w:sz w:val="28"/>
          <w:szCs w:val="28"/>
        </w:rPr>
        <w:tab/>
      </w:r>
      <w:r>
        <w:rPr>
          <w:rFonts w:ascii="Britannic Bold" w:hAnsi="Britannic Bold"/>
          <w:sz w:val="28"/>
          <w:szCs w:val="28"/>
        </w:rPr>
        <w:tab/>
      </w:r>
      <w:r>
        <w:rPr>
          <w:rFonts w:ascii="Britannic Bold" w:hAnsi="Britannic Bold"/>
          <w:sz w:val="28"/>
          <w:szCs w:val="28"/>
        </w:rPr>
        <w:tab/>
      </w:r>
    </w:p>
    <w:p w:rsidR="009C3FE1" w:rsidRDefault="009C3FE1">
      <w:pPr>
        <w:rPr>
          <w:rFonts w:ascii="Britannic Bold" w:hAnsi="Britannic Bold"/>
          <w:sz w:val="28"/>
          <w:szCs w:val="28"/>
        </w:rPr>
      </w:pPr>
    </w:p>
    <w:p w:rsidR="009C3FE1" w:rsidRDefault="009C3FE1">
      <w:pPr>
        <w:rPr>
          <w:rFonts w:ascii="Britannic Bold" w:hAnsi="Britannic Bold"/>
          <w:sz w:val="28"/>
          <w:szCs w:val="28"/>
        </w:rPr>
      </w:pPr>
    </w:p>
    <w:p w:rsidR="009C3FE1" w:rsidRDefault="009C3FE1">
      <w:pPr>
        <w:rPr>
          <w:rFonts w:ascii="Britannic Bold" w:hAnsi="Britannic Bold"/>
          <w:sz w:val="28"/>
          <w:szCs w:val="28"/>
        </w:rPr>
      </w:pPr>
    </w:p>
    <w:p w:rsidR="009C3FE1" w:rsidRDefault="009C3FE1">
      <w:pPr>
        <w:rPr>
          <w:rFonts w:ascii="Britannic Bold" w:hAnsi="Britannic Bold"/>
          <w:sz w:val="28"/>
          <w:szCs w:val="28"/>
        </w:rPr>
      </w:pPr>
    </w:p>
    <w:p w:rsidR="00A334B1" w:rsidRDefault="001D5359">
      <w:pPr>
        <w:rPr>
          <w:rFonts w:asciiTheme="minorHAnsi" w:hAnsiTheme="minorHAnsi"/>
          <w:sz w:val="28"/>
          <w:szCs w:val="28"/>
        </w:rPr>
      </w:pPr>
      <w:r>
        <w:rPr>
          <w:rFonts w:ascii="Britannic Bold" w:hAnsi="Britannic Bold"/>
          <w:sz w:val="28"/>
          <w:szCs w:val="28"/>
        </w:rPr>
        <w:br/>
        <w:t xml:space="preserve">  </w:t>
      </w:r>
      <w:r w:rsidR="00A334B1">
        <w:rPr>
          <w:rFonts w:ascii="Britannic Bold" w:hAnsi="Britannic Bold"/>
          <w:sz w:val="28"/>
          <w:szCs w:val="28"/>
        </w:rPr>
        <w:t>Essential Question(s):</w:t>
      </w:r>
      <w:r w:rsidR="00A334B1">
        <w:rPr>
          <w:rFonts w:ascii="Britannic Bold" w:hAnsi="Britannic Bold"/>
          <w:sz w:val="28"/>
          <w:szCs w:val="28"/>
        </w:rPr>
        <w:br/>
      </w:r>
    </w:p>
    <w:p w:rsidR="00A334B1" w:rsidRDefault="00693BB5">
      <w:pPr>
        <w:rPr>
          <w:rFonts w:asciiTheme="minorHAnsi" w:hAnsiTheme="minorHAnsi"/>
          <w:sz w:val="28"/>
          <w:szCs w:val="28"/>
        </w:rPr>
      </w:pPr>
      <w:r w:rsidRPr="00693BB5">
        <w:rPr>
          <w:rFonts w:ascii="Britannic Bold" w:hAnsi="Britannic Bold"/>
          <w:noProof/>
          <w:sz w:val="28"/>
          <w:szCs w:val="28"/>
        </w:rPr>
        <w:pict>
          <v:shape id="_x0000_s1028" type="#_x0000_t202" style="position:absolute;margin-left:3.1pt;margin-top:7.75pt;width:690.35pt;height:61.05pt;z-index:251651584" strokeweight="4.5pt">
            <v:stroke linestyle="thinThick"/>
            <v:textbox style="mso-next-textbox:#_x0000_s1028">
              <w:txbxContent>
                <w:p w:rsidR="006B17F7" w:rsidRPr="00DE5D47" w:rsidRDefault="00DE5D47" w:rsidP="00A334B1">
                  <w:pPr>
                    <w:rPr>
                      <w:rFonts w:ascii="Arial" w:hAnsi="Arial" w:cs="Arial"/>
                      <w:color w:val="000080"/>
                      <w:sz w:val="22"/>
                      <w:szCs w:val="20"/>
                    </w:rPr>
                  </w:pPr>
                  <w:r w:rsidRPr="00DE5D47">
                    <w:rPr>
                      <w:rFonts w:ascii="Arial" w:hAnsi="Arial" w:cs="Arial"/>
                      <w:color w:val="000080"/>
                      <w:sz w:val="22"/>
                      <w:szCs w:val="20"/>
                    </w:rPr>
                    <w:t>Which of our current content standards would benefit from being deconstructed?</w:t>
                  </w:r>
                </w:p>
                <w:p w:rsidR="00DE5D47" w:rsidRPr="00DE5D47" w:rsidRDefault="00DE5D47" w:rsidP="00A334B1">
                  <w:pPr>
                    <w:rPr>
                      <w:rFonts w:ascii="Arial" w:hAnsi="Arial" w:cs="Arial"/>
                      <w:color w:val="000080"/>
                      <w:sz w:val="22"/>
                      <w:szCs w:val="20"/>
                    </w:rPr>
                  </w:pPr>
                  <w:r w:rsidRPr="00DE5D47">
                    <w:rPr>
                      <w:rFonts w:ascii="Arial" w:hAnsi="Arial" w:cs="Arial"/>
                      <w:color w:val="000080"/>
                      <w:sz w:val="22"/>
                      <w:szCs w:val="20"/>
                    </w:rPr>
                    <w:t>Which ones would benefit from being translated into student-friendly versions?  Parent-friendly versions?</w:t>
                  </w:r>
                </w:p>
                <w:p w:rsidR="00DE5D47" w:rsidRPr="00DE5D47" w:rsidRDefault="00DE5D47" w:rsidP="00A334B1">
                  <w:pPr>
                    <w:rPr>
                      <w:rFonts w:ascii="Arial" w:hAnsi="Arial" w:cs="Arial"/>
                      <w:color w:val="000080"/>
                      <w:sz w:val="22"/>
                      <w:szCs w:val="20"/>
                    </w:rPr>
                  </w:pPr>
                  <w:r w:rsidRPr="00DE5D47">
                    <w:rPr>
                      <w:rFonts w:ascii="Arial" w:hAnsi="Arial" w:cs="Arial"/>
                      <w:color w:val="000080"/>
                      <w:sz w:val="22"/>
                      <w:szCs w:val="20"/>
                    </w:rPr>
                    <w:t xml:space="preserve">What did you notice when you looked through your curriculum documents to classify learning targets by type?  </w:t>
                  </w:r>
                </w:p>
                <w:p w:rsidR="006B17F7" w:rsidRPr="00FE4041" w:rsidRDefault="006B17F7" w:rsidP="00FE4041">
                  <w:pPr>
                    <w:rPr>
                      <w:rFonts w:asciiTheme="minorHAnsi" w:hAnsiTheme="minorHAnsi"/>
                      <w:sz w:val="28"/>
                      <w:szCs w:val="28"/>
                    </w:rPr>
                  </w:pPr>
                  <w:r w:rsidRPr="00FE4041">
                    <w:rPr>
                      <w:rFonts w:asciiTheme="minorHAnsi" w:hAnsiTheme="minorHAnsi"/>
                      <w:sz w:val="28"/>
                      <w:szCs w:val="28"/>
                    </w:rPr>
                    <w:tab/>
                  </w:r>
                  <w:r w:rsidRPr="00FE4041">
                    <w:rPr>
                      <w:rFonts w:asciiTheme="minorHAnsi" w:hAnsiTheme="minorHAnsi"/>
                      <w:sz w:val="28"/>
                      <w:szCs w:val="28"/>
                    </w:rPr>
                    <w:tab/>
                  </w:r>
                  <w:r w:rsidRPr="00FE4041">
                    <w:rPr>
                      <w:rFonts w:asciiTheme="minorHAnsi" w:hAnsiTheme="minorHAnsi"/>
                      <w:sz w:val="28"/>
                      <w:szCs w:val="28"/>
                    </w:rPr>
                    <w:tab/>
                  </w:r>
                </w:p>
              </w:txbxContent>
            </v:textbox>
          </v:shape>
        </w:pict>
      </w:r>
    </w:p>
    <w:p w:rsidR="00A334B1" w:rsidRDefault="00A334B1">
      <w:pPr>
        <w:rPr>
          <w:rFonts w:asciiTheme="minorHAnsi" w:hAnsiTheme="minorHAnsi"/>
          <w:sz w:val="28"/>
          <w:szCs w:val="28"/>
        </w:rPr>
      </w:pPr>
    </w:p>
    <w:p w:rsidR="00A334B1" w:rsidRDefault="00A334B1">
      <w:pPr>
        <w:rPr>
          <w:rFonts w:asciiTheme="minorHAnsi" w:hAnsiTheme="minorHAnsi"/>
          <w:sz w:val="28"/>
          <w:szCs w:val="28"/>
        </w:rPr>
      </w:pPr>
    </w:p>
    <w:p w:rsidR="001D5359" w:rsidRDefault="001D5359" w:rsidP="00A334B1">
      <w:pPr>
        <w:rPr>
          <w:rFonts w:asciiTheme="minorHAnsi" w:hAnsiTheme="minorHAnsi"/>
          <w:sz w:val="28"/>
          <w:szCs w:val="28"/>
        </w:rPr>
      </w:pPr>
    </w:p>
    <w:p w:rsidR="001D5359" w:rsidRDefault="001D5359" w:rsidP="00A334B1">
      <w:pPr>
        <w:rPr>
          <w:rFonts w:asciiTheme="minorHAnsi" w:hAnsiTheme="minorHAnsi"/>
          <w:sz w:val="28"/>
          <w:szCs w:val="28"/>
        </w:rPr>
      </w:pPr>
    </w:p>
    <w:p w:rsidR="009775B1" w:rsidRPr="00DE5D47" w:rsidRDefault="009775B1" w:rsidP="00DE5D47">
      <w:pPr>
        <w:jc w:val="center"/>
        <w:rPr>
          <w:rStyle w:val="bodybold1"/>
          <w:i/>
          <w:color w:val="FF0000"/>
          <w:sz w:val="24"/>
        </w:rPr>
      </w:pPr>
      <w:r w:rsidRPr="00DE5D47">
        <w:rPr>
          <w:rStyle w:val="body1"/>
          <w:i/>
          <w:color w:val="FF0000"/>
          <w:sz w:val="24"/>
        </w:rPr>
        <w:t xml:space="preserve">To raise new questions, new possibilities, to regard old problems from a new angle, </w:t>
      </w:r>
      <w:r w:rsidR="00DE5D47">
        <w:rPr>
          <w:rStyle w:val="body1"/>
          <w:i/>
          <w:color w:val="FF0000"/>
          <w:sz w:val="24"/>
        </w:rPr>
        <w:br/>
      </w:r>
      <w:r w:rsidRPr="00DE5D47">
        <w:rPr>
          <w:rStyle w:val="body1"/>
          <w:i/>
          <w:color w:val="FF0000"/>
          <w:sz w:val="24"/>
        </w:rPr>
        <w:t>requires creative imagination and marks real advance in science.</w:t>
      </w:r>
      <w:r w:rsidRPr="00DE5D47">
        <w:rPr>
          <w:i/>
          <w:color w:val="FF0000"/>
          <w:sz w:val="32"/>
        </w:rPr>
        <w:t xml:space="preserve"> </w:t>
      </w:r>
      <w:r w:rsidRPr="00DE5D47">
        <w:rPr>
          <w:i/>
          <w:color w:val="FF0000"/>
          <w:sz w:val="32"/>
        </w:rPr>
        <w:br/>
      </w:r>
      <w:hyperlink r:id="rId6" w:history="1">
        <w:r w:rsidRPr="00DE5D47">
          <w:rPr>
            <w:rStyle w:val="Hyperlink"/>
            <w:rFonts w:ascii="Verdana" w:hAnsi="Verdana"/>
            <w:b/>
            <w:bCs/>
            <w:i/>
            <w:color w:val="FF0000"/>
            <w:szCs w:val="20"/>
          </w:rPr>
          <w:t>Albert Einstein</w:t>
        </w:r>
      </w:hyperlink>
    </w:p>
    <w:p w:rsidR="009775B1" w:rsidRDefault="009775B1" w:rsidP="00A334B1">
      <w:pPr>
        <w:rPr>
          <w:rStyle w:val="bodybold1"/>
        </w:rPr>
      </w:pPr>
    </w:p>
    <w:p w:rsidR="00BB500A" w:rsidRDefault="00BB500A" w:rsidP="00A334B1">
      <w:pPr>
        <w:rPr>
          <w:rStyle w:val="bodybold1"/>
        </w:rPr>
      </w:pPr>
      <w:r>
        <w:rPr>
          <w:rStyle w:val="bodybold1"/>
        </w:rPr>
        <w:t xml:space="preserve">As consumers we expect full disclosure on what we are purchasing – we want to know the various uses; we want to know how things are constructed; what we can look forward to in terms longevity, maintenance, and replacement parts; we price-shop, compare, and do our best to be informed consumers; we never purchase what we do not value or understand – yet we ask our students to blindly “buy” what we are “selling” every single day – dozens of times.  We rarely invite or appreciate questions regarding use, quality, or application.  They are to blindly buy what we sell, pay what we ask (assignments/grades), and there are no returns, exchanges or coupons accepted! </w:t>
      </w:r>
    </w:p>
    <w:p w:rsidR="00F06DE4" w:rsidRDefault="00F06DE4" w:rsidP="00A334B1">
      <w:pPr>
        <w:rPr>
          <w:rStyle w:val="bodybold1"/>
        </w:rPr>
      </w:pPr>
    </w:p>
    <w:p w:rsidR="009775B1" w:rsidRDefault="00BB500A" w:rsidP="00A334B1">
      <w:pPr>
        <w:rPr>
          <w:rStyle w:val="bodybold1"/>
        </w:rPr>
      </w:pPr>
      <w:r>
        <w:rPr>
          <w:rStyle w:val="bodybold1"/>
        </w:rPr>
        <w:t xml:space="preserve">Our students and their parents, in fact, the community at large, have the same rights when it comes to the instruction we provide.  </w:t>
      </w:r>
      <w:r w:rsidR="00F06DE4">
        <w:rPr>
          <w:rStyle w:val="bodybold1"/>
        </w:rPr>
        <w:t>We are not suggesting that the stakeholders “vote” on curriculum or instructional practices, but instead stakeholders should</w:t>
      </w:r>
      <w:r>
        <w:rPr>
          <w:rStyle w:val="bodybold1"/>
        </w:rPr>
        <w:t xml:space="preserve"> be </w:t>
      </w:r>
      <w:r w:rsidR="00F06DE4">
        <w:rPr>
          <w:rStyle w:val="bodybold1"/>
        </w:rPr>
        <w:t>informed</w:t>
      </w:r>
      <w:r>
        <w:rPr>
          <w:rStyle w:val="bodybold1"/>
        </w:rPr>
        <w:t xml:space="preserve">, included, and engaged in the process and they should VALUE the product (learning).  </w:t>
      </w:r>
      <w:r w:rsidR="00ED3076">
        <w:rPr>
          <w:rStyle w:val="bodybold1"/>
        </w:rPr>
        <w:t xml:space="preserve">What we </w:t>
      </w:r>
      <w:r w:rsidR="00F06DE4">
        <w:rPr>
          <w:rStyle w:val="bodybold1"/>
        </w:rPr>
        <w:t xml:space="preserve">need is a new vision; an imagination that is strong enough to withstand during the long hours and sometimes thankless job of changing habits, updating a school culture, and embracing new ways of “doing business.”  </w:t>
      </w:r>
    </w:p>
    <w:p w:rsidR="00F06DE4" w:rsidRPr="00B429F8" w:rsidRDefault="00F06DE4" w:rsidP="00A334B1">
      <w:pPr>
        <w:rPr>
          <w:rStyle w:val="bodybold1"/>
          <w:b w:val="0"/>
          <w:i/>
        </w:rPr>
      </w:pPr>
      <w:r>
        <w:rPr>
          <w:rStyle w:val="bodybold1"/>
        </w:rPr>
        <w:tab/>
      </w:r>
      <w:r>
        <w:rPr>
          <w:rStyle w:val="bodybold1"/>
        </w:rPr>
        <w:tab/>
      </w:r>
      <w:r>
        <w:rPr>
          <w:rStyle w:val="bodybold1"/>
        </w:rPr>
        <w:tab/>
      </w:r>
      <w:r>
        <w:rPr>
          <w:rStyle w:val="bodybold1"/>
        </w:rPr>
        <w:tab/>
      </w:r>
      <w:r>
        <w:rPr>
          <w:rStyle w:val="bodybold1"/>
        </w:rPr>
        <w:tab/>
      </w:r>
      <w:r>
        <w:rPr>
          <w:rStyle w:val="bodybold1"/>
        </w:rPr>
        <w:tab/>
      </w:r>
      <w:r>
        <w:rPr>
          <w:rStyle w:val="bodybold1"/>
        </w:rPr>
        <w:tab/>
      </w:r>
      <w:r>
        <w:rPr>
          <w:rStyle w:val="bodybold1"/>
        </w:rPr>
        <w:tab/>
      </w:r>
      <w:r>
        <w:rPr>
          <w:rStyle w:val="bodybold1"/>
        </w:rPr>
        <w:tab/>
      </w:r>
      <w:r>
        <w:rPr>
          <w:rStyle w:val="bodybold1"/>
        </w:rPr>
        <w:tab/>
      </w:r>
      <w:r>
        <w:rPr>
          <w:rStyle w:val="bodybold1"/>
        </w:rPr>
        <w:tab/>
      </w:r>
      <w:r>
        <w:rPr>
          <w:rStyle w:val="bodybold1"/>
        </w:rPr>
        <w:tab/>
      </w:r>
      <w:r>
        <w:rPr>
          <w:rStyle w:val="bodybold1"/>
        </w:rPr>
        <w:tab/>
      </w:r>
      <w:r w:rsidRPr="00B429F8">
        <w:rPr>
          <w:rStyle w:val="bodybold1"/>
          <w:b w:val="0"/>
          <w:i/>
        </w:rPr>
        <w:t xml:space="preserve">Dr. Pamela Petty (WKU) </w:t>
      </w:r>
    </w:p>
    <w:p w:rsidR="00F06DE4" w:rsidRDefault="00F06DE4" w:rsidP="00A334B1">
      <w:pPr>
        <w:rPr>
          <w:rStyle w:val="bodybold1"/>
        </w:rPr>
      </w:pPr>
    </w:p>
    <w:p w:rsidR="00F06DE4" w:rsidRDefault="00F06DE4" w:rsidP="00A334B1">
      <w:pPr>
        <w:rPr>
          <w:rStyle w:val="bodybold1"/>
        </w:rPr>
      </w:pPr>
    </w:p>
    <w:p w:rsidR="00F06DE4" w:rsidRDefault="00F06DE4" w:rsidP="00A334B1">
      <w:pPr>
        <w:rPr>
          <w:rStyle w:val="bodybold1"/>
        </w:rPr>
      </w:pPr>
    </w:p>
    <w:p w:rsidR="00F06DE4" w:rsidRDefault="00F06DE4" w:rsidP="00A334B1">
      <w:pPr>
        <w:rPr>
          <w:rStyle w:val="bodybold1"/>
        </w:rPr>
      </w:pPr>
    </w:p>
    <w:p w:rsidR="00F06DE4" w:rsidRDefault="00F06DE4" w:rsidP="00A334B1">
      <w:pPr>
        <w:rPr>
          <w:rStyle w:val="bodybold1"/>
        </w:rPr>
      </w:pPr>
    </w:p>
    <w:p w:rsidR="009775B1" w:rsidRDefault="00B429F8" w:rsidP="00A334B1">
      <w:pPr>
        <w:rPr>
          <w:rStyle w:val="bodybold1"/>
        </w:rPr>
      </w:pPr>
      <w:r>
        <w:rPr>
          <w:rStyle w:val="bodybold1"/>
        </w:rPr>
        <w:t xml:space="preserve">Without statements of intent and a plan to change our thinking, our processing, and our communication practices we cannot expect much to change.  Many times we find we don’t know what we think until we have to put something into words – either orally or in writing.  In fact, sometimes we can’t think of solutions and ways to move forward because the </w:t>
      </w:r>
      <w:r w:rsidRPr="00B429F8">
        <w:rPr>
          <w:rStyle w:val="bodybold1"/>
          <w:u w:val="single"/>
        </w:rPr>
        <w:t>barriers to progress</w:t>
      </w:r>
      <w:r>
        <w:rPr>
          <w:rStyle w:val="bodybold1"/>
        </w:rPr>
        <w:t xml:space="preserve"> overshadow our perceptions.  For each prompt listed below use the information </w:t>
      </w:r>
      <w:r w:rsidR="00331207">
        <w:rPr>
          <w:rStyle w:val="bodybold1"/>
        </w:rPr>
        <w:t>on pages 53-61</w:t>
      </w:r>
      <w:r>
        <w:rPr>
          <w:rStyle w:val="bodybold1"/>
        </w:rPr>
        <w:t xml:space="preserve"> to respond.  </w:t>
      </w:r>
    </w:p>
    <w:p w:rsidR="00C30394" w:rsidRDefault="00C30394" w:rsidP="00A334B1">
      <w:pPr>
        <w:rPr>
          <w:rStyle w:val="bodybold1"/>
        </w:rPr>
      </w:pPr>
    </w:p>
    <w:p w:rsidR="00C30394" w:rsidRDefault="00C30394" w:rsidP="00A334B1">
      <w:pPr>
        <w:rPr>
          <w:rStyle w:val="bodybold1"/>
        </w:rPr>
      </w:pPr>
    </w:p>
    <w:tbl>
      <w:tblPr>
        <w:tblStyle w:val="TableGrid"/>
        <w:tblW w:w="0" w:type="auto"/>
        <w:tblLook w:val="04A0"/>
      </w:tblPr>
      <w:tblGrid>
        <w:gridCol w:w="3690"/>
        <w:gridCol w:w="3690"/>
        <w:gridCol w:w="3690"/>
        <w:gridCol w:w="3690"/>
      </w:tblGrid>
      <w:tr w:rsidR="00331207" w:rsidTr="00331207">
        <w:tc>
          <w:tcPr>
            <w:tcW w:w="3690" w:type="dxa"/>
            <w:shd w:val="clear" w:color="auto" w:fill="D9D9D9" w:themeFill="background1" w:themeFillShade="D9"/>
          </w:tcPr>
          <w:p w:rsidR="00331207" w:rsidRDefault="00331207" w:rsidP="00331207">
            <w:pPr>
              <w:jc w:val="center"/>
              <w:rPr>
                <w:rStyle w:val="bodybold1"/>
              </w:rPr>
            </w:pPr>
            <w:r>
              <w:rPr>
                <w:rStyle w:val="bodybold1"/>
              </w:rPr>
              <w:t>Barriers</w:t>
            </w:r>
          </w:p>
        </w:tc>
        <w:tc>
          <w:tcPr>
            <w:tcW w:w="3690" w:type="dxa"/>
            <w:shd w:val="clear" w:color="auto" w:fill="D9D9D9" w:themeFill="background1" w:themeFillShade="D9"/>
          </w:tcPr>
          <w:p w:rsidR="00331207" w:rsidRDefault="00331207" w:rsidP="00331207">
            <w:pPr>
              <w:jc w:val="center"/>
              <w:rPr>
                <w:rStyle w:val="bodybold1"/>
              </w:rPr>
            </w:pPr>
            <w:r>
              <w:rPr>
                <w:rStyle w:val="bodybold1"/>
              </w:rPr>
              <w:t>My Best Response to Squelch the Fear</w:t>
            </w:r>
          </w:p>
        </w:tc>
        <w:tc>
          <w:tcPr>
            <w:tcW w:w="3690" w:type="dxa"/>
            <w:shd w:val="clear" w:color="auto" w:fill="D9D9D9" w:themeFill="background1" w:themeFillShade="D9"/>
          </w:tcPr>
          <w:p w:rsidR="00331207" w:rsidRDefault="00331207" w:rsidP="00331207">
            <w:pPr>
              <w:jc w:val="center"/>
              <w:rPr>
                <w:rStyle w:val="bodybold1"/>
              </w:rPr>
            </w:pPr>
            <w:r>
              <w:rPr>
                <w:rStyle w:val="bodybold1"/>
              </w:rPr>
              <w:t>CASL-guided Response</w:t>
            </w:r>
          </w:p>
        </w:tc>
        <w:tc>
          <w:tcPr>
            <w:tcW w:w="3690" w:type="dxa"/>
            <w:shd w:val="clear" w:color="auto" w:fill="D9D9D9" w:themeFill="background1" w:themeFillShade="D9"/>
          </w:tcPr>
          <w:p w:rsidR="00331207" w:rsidRDefault="00331207" w:rsidP="00331207">
            <w:pPr>
              <w:jc w:val="center"/>
              <w:rPr>
                <w:rStyle w:val="bodybold1"/>
              </w:rPr>
            </w:pPr>
            <w:r>
              <w:rPr>
                <w:rStyle w:val="bodybold1"/>
              </w:rPr>
              <w:t>An action statement that moves me forward</w:t>
            </w:r>
          </w:p>
        </w:tc>
      </w:tr>
      <w:tr w:rsidR="00331207" w:rsidTr="00331207">
        <w:tc>
          <w:tcPr>
            <w:tcW w:w="3690" w:type="dxa"/>
          </w:tcPr>
          <w:p w:rsidR="00331207" w:rsidRDefault="00331207" w:rsidP="00A334B1">
            <w:pPr>
              <w:rPr>
                <w:rStyle w:val="bodybold1"/>
                <w:b w:val="0"/>
              </w:rPr>
            </w:pPr>
            <w:r>
              <w:rPr>
                <w:rStyle w:val="bodybold1"/>
                <w:b w:val="0"/>
              </w:rPr>
              <w:t xml:space="preserve">I move heaven and earth to try and get my students to understand and remember the </w:t>
            </w:r>
            <w:r w:rsidRPr="00331207">
              <w:rPr>
                <w:rStyle w:val="bodybold1"/>
                <w:b w:val="0"/>
                <w:u w:val="single"/>
              </w:rPr>
              <w:t>content</w:t>
            </w:r>
            <w:r>
              <w:rPr>
                <w:rStyle w:val="bodybold1"/>
                <w:b w:val="0"/>
              </w:rPr>
              <w:t xml:space="preserve">, now you want me to get them to reiterate the matching learning targets?  </w:t>
            </w:r>
          </w:p>
          <w:p w:rsidR="00CF7248" w:rsidRDefault="00CF7248" w:rsidP="00A334B1">
            <w:pPr>
              <w:rPr>
                <w:rStyle w:val="bodybold1"/>
                <w:b w:val="0"/>
              </w:rPr>
            </w:pPr>
          </w:p>
          <w:p w:rsidR="00CF7248" w:rsidRPr="00331207" w:rsidRDefault="00CF7248" w:rsidP="00A334B1">
            <w:pPr>
              <w:rPr>
                <w:rStyle w:val="bodybold1"/>
                <w:b w:val="0"/>
              </w:rPr>
            </w:pPr>
          </w:p>
        </w:tc>
        <w:tc>
          <w:tcPr>
            <w:tcW w:w="3690" w:type="dxa"/>
          </w:tcPr>
          <w:p w:rsidR="00331207" w:rsidRDefault="00331207" w:rsidP="00A334B1">
            <w:pPr>
              <w:rPr>
                <w:rStyle w:val="bodybold1"/>
              </w:rPr>
            </w:pPr>
          </w:p>
        </w:tc>
        <w:tc>
          <w:tcPr>
            <w:tcW w:w="3690" w:type="dxa"/>
          </w:tcPr>
          <w:p w:rsidR="00331207" w:rsidRDefault="00331207" w:rsidP="00A334B1">
            <w:pPr>
              <w:rPr>
                <w:rStyle w:val="bodybold1"/>
              </w:rPr>
            </w:pPr>
          </w:p>
        </w:tc>
        <w:tc>
          <w:tcPr>
            <w:tcW w:w="3690" w:type="dxa"/>
          </w:tcPr>
          <w:p w:rsidR="00331207" w:rsidRDefault="00331207" w:rsidP="00A334B1">
            <w:pPr>
              <w:rPr>
                <w:rStyle w:val="bodybold1"/>
              </w:rPr>
            </w:pPr>
          </w:p>
        </w:tc>
      </w:tr>
      <w:tr w:rsidR="00331207" w:rsidTr="00331207">
        <w:tc>
          <w:tcPr>
            <w:tcW w:w="3690" w:type="dxa"/>
          </w:tcPr>
          <w:p w:rsidR="00331207" w:rsidRDefault="00331207" w:rsidP="00331207">
            <w:pPr>
              <w:rPr>
                <w:rStyle w:val="bodybold1"/>
                <w:b w:val="0"/>
              </w:rPr>
            </w:pPr>
            <w:r>
              <w:rPr>
                <w:rStyle w:val="bodybold1"/>
                <w:b w:val="0"/>
              </w:rPr>
              <w:t>My students struggle with academic language and vocabulary in general, how do I find words for learning targets they can understand?</w:t>
            </w:r>
          </w:p>
          <w:p w:rsidR="00CF7248" w:rsidRDefault="00CF7248" w:rsidP="00331207">
            <w:pPr>
              <w:rPr>
                <w:rStyle w:val="bodybold1"/>
                <w:b w:val="0"/>
              </w:rPr>
            </w:pPr>
          </w:p>
          <w:p w:rsidR="00CF7248" w:rsidRPr="00331207" w:rsidRDefault="00CF7248" w:rsidP="00331207">
            <w:pPr>
              <w:rPr>
                <w:rStyle w:val="bodybold1"/>
                <w:b w:val="0"/>
              </w:rPr>
            </w:pPr>
          </w:p>
        </w:tc>
        <w:tc>
          <w:tcPr>
            <w:tcW w:w="3690" w:type="dxa"/>
          </w:tcPr>
          <w:p w:rsidR="00331207" w:rsidRDefault="00331207" w:rsidP="00A334B1">
            <w:pPr>
              <w:rPr>
                <w:rStyle w:val="bodybold1"/>
              </w:rPr>
            </w:pPr>
          </w:p>
        </w:tc>
        <w:tc>
          <w:tcPr>
            <w:tcW w:w="3690" w:type="dxa"/>
          </w:tcPr>
          <w:p w:rsidR="00331207" w:rsidRDefault="00331207" w:rsidP="00A334B1">
            <w:pPr>
              <w:rPr>
                <w:rStyle w:val="bodybold1"/>
              </w:rPr>
            </w:pPr>
          </w:p>
        </w:tc>
        <w:tc>
          <w:tcPr>
            <w:tcW w:w="3690" w:type="dxa"/>
          </w:tcPr>
          <w:p w:rsidR="00331207" w:rsidRDefault="00331207" w:rsidP="00A334B1">
            <w:pPr>
              <w:rPr>
                <w:rStyle w:val="bodybold1"/>
              </w:rPr>
            </w:pPr>
          </w:p>
        </w:tc>
      </w:tr>
      <w:tr w:rsidR="00331207" w:rsidTr="00CF7248">
        <w:trPr>
          <w:trHeight w:val="1574"/>
        </w:trPr>
        <w:tc>
          <w:tcPr>
            <w:tcW w:w="3690" w:type="dxa"/>
          </w:tcPr>
          <w:p w:rsidR="00331207" w:rsidRDefault="00331207" w:rsidP="00A334B1">
            <w:pPr>
              <w:rPr>
                <w:rStyle w:val="bodybold1"/>
                <w:b w:val="0"/>
              </w:rPr>
            </w:pPr>
            <w:r>
              <w:rPr>
                <w:rStyle w:val="bodybold1"/>
                <w:b w:val="0"/>
              </w:rPr>
              <w:t xml:space="preserve">Parents won’t return my phone calls, won’t attend parent/teacher conferences, or sign the papers I send home, just how “engaged” </w:t>
            </w:r>
            <w:r w:rsidR="00CF7248">
              <w:rPr>
                <w:rStyle w:val="bodybold1"/>
                <w:b w:val="0"/>
              </w:rPr>
              <w:t xml:space="preserve">do you think they want to be student learning?  </w:t>
            </w:r>
          </w:p>
          <w:p w:rsidR="00CF7248" w:rsidRDefault="00CF7248" w:rsidP="00A334B1">
            <w:pPr>
              <w:rPr>
                <w:rStyle w:val="bodybold1"/>
                <w:b w:val="0"/>
              </w:rPr>
            </w:pPr>
          </w:p>
          <w:p w:rsidR="00CF7248" w:rsidRPr="00331207" w:rsidRDefault="00CF7248" w:rsidP="00A334B1">
            <w:pPr>
              <w:rPr>
                <w:rStyle w:val="bodybold1"/>
                <w:b w:val="0"/>
              </w:rPr>
            </w:pPr>
          </w:p>
        </w:tc>
        <w:tc>
          <w:tcPr>
            <w:tcW w:w="3690" w:type="dxa"/>
          </w:tcPr>
          <w:p w:rsidR="00331207" w:rsidRDefault="00331207" w:rsidP="00A334B1">
            <w:pPr>
              <w:rPr>
                <w:rStyle w:val="bodybold1"/>
              </w:rPr>
            </w:pPr>
          </w:p>
        </w:tc>
        <w:tc>
          <w:tcPr>
            <w:tcW w:w="3690" w:type="dxa"/>
          </w:tcPr>
          <w:p w:rsidR="00331207" w:rsidRDefault="00331207" w:rsidP="00A334B1">
            <w:pPr>
              <w:rPr>
                <w:rStyle w:val="bodybold1"/>
              </w:rPr>
            </w:pPr>
          </w:p>
        </w:tc>
        <w:tc>
          <w:tcPr>
            <w:tcW w:w="3690" w:type="dxa"/>
          </w:tcPr>
          <w:p w:rsidR="00331207" w:rsidRDefault="00331207" w:rsidP="00A334B1">
            <w:pPr>
              <w:rPr>
                <w:rStyle w:val="bodybold1"/>
              </w:rPr>
            </w:pPr>
          </w:p>
        </w:tc>
      </w:tr>
      <w:tr w:rsidR="00331207" w:rsidTr="00CF7248">
        <w:trPr>
          <w:trHeight w:val="1709"/>
        </w:trPr>
        <w:tc>
          <w:tcPr>
            <w:tcW w:w="3690" w:type="dxa"/>
          </w:tcPr>
          <w:p w:rsidR="00331207" w:rsidRPr="00331207" w:rsidRDefault="00331207" w:rsidP="00A334B1">
            <w:pPr>
              <w:rPr>
                <w:rStyle w:val="bodybold1"/>
                <w:b w:val="0"/>
              </w:rPr>
            </w:pPr>
            <w:r>
              <w:rPr>
                <w:rStyle w:val="bodybold1"/>
                <w:b w:val="0"/>
              </w:rPr>
              <w:t xml:space="preserve">I already understand the standards, why/how would making targets improve my teaching?  </w:t>
            </w:r>
          </w:p>
        </w:tc>
        <w:tc>
          <w:tcPr>
            <w:tcW w:w="3690" w:type="dxa"/>
          </w:tcPr>
          <w:p w:rsidR="00331207" w:rsidRDefault="00331207" w:rsidP="00A334B1">
            <w:pPr>
              <w:rPr>
                <w:rStyle w:val="bodybold1"/>
              </w:rPr>
            </w:pPr>
          </w:p>
        </w:tc>
        <w:tc>
          <w:tcPr>
            <w:tcW w:w="3690" w:type="dxa"/>
          </w:tcPr>
          <w:p w:rsidR="00331207" w:rsidRDefault="00331207" w:rsidP="00A334B1">
            <w:pPr>
              <w:rPr>
                <w:rStyle w:val="bodybold1"/>
              </w:rPr>
            </w:pPr>
          </w:p>
        </w:tc>
        <w:tc>
          <w:tcPr>
            <w:tcW w:w="3690" w:type="dxa"/>
          </w:tcPr>
          <w:p w:rsidR="00331207" w:rsidRDefault="00331207" w:rsidP="00A334B1">
            <w:pPr>
              <w:rPr>
                <w:rStyle w:val="bodybold1"/>
              </w:rPr>
            </w:pPr>
          </w:p>
        </w:tc>
      </w:tr>
      <w:tr w:rsidR="00331207" w:rsidTr="00331207">
        <w:tc>
          <w:tcPr>
            <w:tcW w:w="3690" w:type="dxa"/>
          </w:tcPr>
          <w:p w:rsidR="00CF7248" w:rsidRDefault="00331207" w:rsidP="00A334B1">
            <w:pPr>
              <w:rPr>
                <w:rStyle w:val="bodybold1"/>
                <w:b w:val="0"/>
              </w:rPr>
            </w:pPr>
            <w:r>
              <w:rPr>
                <w:rStyle w:val="bodybold1"/>
                <w:b w:val="0"/>
              </w:rPr>
              <w:t>If I spend my whole day talking about learning targets, when will I have time for the content?  Is the trade-off in time worth the effort?</w:t>
            </w:r>
          </w:p>
          <w:p w:rsidR="00CF7248" w:rsidRDefault="00CF7248" w:rsidP="00A334B1">
            <w:pPr>
              <w:rPr>
                <w:rStyle w:val="bodybold1"/>
                <w:b w:val="0"/>
              </w:rPr>
            </w:pPr>
          </w:p>
          <w:p w:rsidR="00331207" w:rsidRPr="00331207" w:rsidRDefault="00331207" w:rsidP="00A334B1">
            <w:pPr>
              <w:rPr>
                <w:rStyle w:val="bodybold1"/>
                <w:b w:val="0"/>
              </w:rPr>
            </w:pPr>
            <w:r>
              <w:rPr>
                <w:rStyle w:val="bodybold1"/>
                <w:b w:val="0"/>
              </w:rPr>
              <w:t xml:space="preserve">  </w:t>
            </w:r>
          </w:p>
        </w:tc>
        <w:tc>
          <w:tcPr>
            <w:tcW w:w="3690" w:type="dxa"/>
          </w:tcPr>
          <w:p w:rsidR="00331207" w:rsidRDefault="00331207" w:rsidP="00A334B1">
            <w:pPr>
              <w:rPr>
                <w:rStyle w:val="bodybold1"/>
              </w:rPr>
            </w:pPr>
          </w:p>
        </w:tc>
        <w:tc>
          <w:tcPr>
            <w:tcW w:w="3690" w:type="dxa"/>
          </w:tcPr>
          <w:p w:rsidR="00331207" w:rsidRDefault="00331207" w:rsidP="00A334B1">
            <w:pPr>
              <w:rPr>
                <w:rStyle w:val="bodybold1"/>
              </w:rPr>
            </w:pPr>
          </w:p>
        </w:tc>
        <w:tc>
          <w:tcPr>
            <w:tcW w:w="3690" w:type="dxa"/>
          </w:tcPr>
          <w:p w:rsidR="00331207" w:rsidRDefault="00331207" w:rsidP="00A334B1">
            <w:pPr>
              <w:rPr>
                <w:rStyle w:val="bodybold1"/>
              </w:rPr>
            </w:pPr>
          </w:p>
        </w:tc>
      </w:tr>
    </w:tbl>
    <w:p w:rsidR="009775B1" w:rsidRDefault="009775B1" w:rsidP="00A334B1">
      <w:pPr>
        <w:rPr>
          <w:rStyle w:val="bodybold1"/>
        </w:rPr>
      </w:pPr>
    </w:p>
    <w:p w:rsidR="009775B1" w:rsidRDefault="009775B1" w:rsidP="00A334B1">
      <w:pPr>
        <w:rPr>
          <w:rStyle w:val="bodybold1"/>
        </w:rPr>
      </w:pPr>
    </w:p>
    <w:p w:rsidR="009775B1" w:rsidRDefault="009775B1" w:rsidP="00A334B1">
      <w:pPr>
        <w:rPr>
          <w:rStyle w:val="bodybold1"/>
        </w:rPr>
      </w:pPr>
    </w:p>
    <w:p w:rsidR="009775B1" w:rsidRDefault="009775B1" w:rsidP="00A334B1">
      <w:pPr>
        <w:rPr>
          <w:rStyle w:val="bodybold1"/>
        </w:rPr>
      </w:pPr>
    </w:p>
    <w:p w:rsidR="009775B1" w:rsidRDefault="009775B1" w:rsidP="00A334B1">
      <w:pPr>
        <w:rPr>
          <w:rStyle w:val="bodybold1"/>
        </w:rPr>
      </w:pPr>
    </w:p>
    <w:sectPr w:rsidR="009775B1" w:rsidSect="00331207">
      <w:pgSz w:w="15840" w:h="12240" w:orient="landscape"/>
      <w:pgMar w:top="540" w:right="864" w:bottom="36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645E3"/>
    <w:multiLevelType w:val="hybridMultilevel"/>
    <w:tmpl w:val="EF504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A85CBF"/>
    <w:multiLevelType w:val="hybridMultilevel"/>
    <w:tmpl w:val="2DD0F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591176"/>
    <w:multiLevelType w:val="hybridMultilevel"/>
    <w:tmpl w:val="458A4E14"/>
    <w:lvl w:ilvl="0" w:tplc="04B850C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753240"/>
    <w:multiLevelType w:val="hybridMultilevel"/>
    <w:tmpl w:val="7C36A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attachedTemplate r:id="rId1"/>
  <w:stylePaneFormatFilter w:val="3F01"/>
  <w:defaultTabStop w:val="720"/>
  <w:noPunctuationKerning/>
  <w:characterSpacingControl w:val="doNotCompress"/>
  <w:compat/>
  <w:rsids>
    <w:rsidRoot w:val="00FE4041"/>
    <w:rsid w:val="0005462E"/>
    <w:rsid w:val="00100FB0"/>
    <w:rsid w:val="001412B6"/>
    <w:rsid w:val="001A080A"/>
    <w:rsid w:val="001B3362"/>
    <w:rsid w:val="001D5359"/>
    <w:rsid w:val="00281345"/>
    <w:rsid w:val="00325614"/>
    <w:rsid w:val="00331207"/>
    <w:rsid w:val="00391A03"/>
    <w:rsid w:val="004013D0"/>
    <w:rsid w:val="00404F5F"/>
    <w:rsid w:val="004E7E4E"/>
    <w:rsid w:val="00587755"/>
    <w:rsid w:val="005F75B0"/>
    <w:rsid w:val="006043C0"/>
    <w:rsid w:val="00607A9C"/>
    <w:rsid w:val="006362B6"/>
    <w:rsid w:val="006575D3"/>
    <w:rsid w:val="006878FE"/>
    <w:rsid w:val="00693BB5"/>
    <w:rsid w:val="006B17F7"/>
    <w:rsid w:val="006D7723"/>
    <w:rsid w:val="006E5248"/>
    <w:rsid w:val="008969C7"/>
    <w:rsid w:val="008D0A45"/>
    <w:rsid w:val="00944149"/>
    <w:rsid w:val="009775B1"/>
    <w:rsid w:val="009949B4"/>
    <w:rsid w:val="009A2DBE"/>
    <w:rsid w:val="009C3FE1"/>
    <w:rsid w:val="00A03BB5"/>
    <w:rsid w:val="00A334B1"/>
    <w:rsid w:val="00A63BED"/>
    <w:rsid w:val="00A92772"/>
    <w:rsid w:val="00B429F8"/>
    <w:rsid w:val="00BB500A"/>
    <w:rsid w:val="00BC0D32"/>
    <w:rsid w:val="00C07BE9"/>
    <w:rsid w:val="00C30394"/>
    <w:rsid w:val="00C63EA2"/>
    <w:rsid w:val="00CD6E34"/>
    <w:rsid w:val="00CF7248"/>
    <w:rsid w:val="00D472E9"/>
    <w:rsid w:val="00D64FFA"/>
    <w:rsid w:val="00DE5D47"/>
    <w:rsid w:val="00DF7CB7"/>
    <w:rsid w:val="00E6533C"/>
    <w:rsid w:val="00ED3076"/>
    <w:rsid w:val="00EF56CA"/>
    <w:rsid w:val="00F06DE4"/>
    <w:rsid w:val="00F21800"/>
    <w:rsid w:val="00F32D1D"/>
    <w:rsid w:val="00FB75EB"/>
    <w:rsid w:val="00FE4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D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B75EB"/>
    <w:rPr>
      <w:rFonts w:ascii="Tahoma" w:hAnsi="Tahoma" w:cs="Tahoma"/>
      <w:sz w:val="16"/>
      <w:szCs w:val="16"/>
    </w:rPr>
  </w:style>
  <w:style w:type="character" w:customStyle="1" w:styleId="BalloonTextChar">
    <w:name w:val="Balloon Text Char"/>
    <w:basedOn w:val="DefaultParagraphFont"/>
    <w:link w:val="BalloonText"/>
    <w:rsid w:val="00FB75EB"/>
    <w:rPr>
      <w:rFonts w:ascii="Tahoma" w:hAnsi="Tahoma" w:cs="Tahoma"/>
      <w:sz w:val="16"/>
      <w:szCs w:val="16"/>
    </w:rPr>
  </w:style>
  <w:style w:type="table" w:styleId="TableGrid">
    <w:name w:val="Table Grid"/>
    <w:basedOn w:val="TableNormal"/>
    <w:rsid w:val="003256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334B1"/>
    <w:pPr>
      <w:ind w:left="720"/>
      <w:contextualSpacing/>
    </w:pPr>
  </w:style>
  <w:style w:type="character" w:styleId="Hyperlink">
    <w:name w:val="Hyperlink"/>
    <w:basedOn w:val="DefaultParagraphFont"/>
    <w:uiPriority w:val="99"/>
    <w:unhideWhenUsed/>
    <w:rsid w:val="009775B1"/>
    <w:rPr>
      <w:strike w:val="0"/>
      <w:dstrike w:val="0"/>
      <w:color w:val="0011FF"/>
      <w:u w:val="none"/>
      <w:effect w:val="none"/>
    </w:rPr>
  </w:style>
  <w:style w:type="character" w:customStyle="1" w:styleId="body1">
    <w:name w:val="body1"/>
    <w:basedOn w:val="DefaultParagraphFont"/>
    <w:rsid w:val="009775B1"/>
    <w:rPr>
      <w:rFonts w:ascii="Verdana" w:hAnsi="Verdana" w:hint="default"/>
      <w:sz w:val="20"/>
      <w:szCs w:val="20"/>
    </w:rPr>
  </w:style>
  <w:style w:type="character" w:customStyle="1" w:styleId="bodybold1">
    <w:name w:val="bodybold1"/>
    <w:basedOn w:val="DefaultParagraphFont"/>
    <w:rsid w:val="009775B1"/>
    <w:rPr>
      <w:rFonts w:ascii="Verdana" w:hAnsi="Verdana" w:hint="default"/>
      <w:b/>
      <w:bCs/>
      <w:sz w:val="20"/>
      <w:szCs w:val="20"/>
    </w:rPr>
  </w:style>
</w:styles>
</file>

<file path=word/webSettings.xml><?xml version="1.0" encoding="utf-8"?>
<w:webSettings xmlns:r="http://schemas.openxmlformats.org/officeDocument/2006/relationships" xmlns:w="http://schemas.openxmlformats.org/wordprocessingml/2006/main">
  <w:divs>
    <w:div w:id="121477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ainyquote.com/quotes/quotes/a/alberteins130625.html"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m%20Petty\Application%20Data\Microsoft\Templates\Lesson%20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77810-9C6C-47D3-BF03-D99C547C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plan</Template>
  <TotalTime>0</TotalTime>
  <Pages>3</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petty</dc:creator>
  <cp:keywords/>
  <dc:description/>
  <cp:lastModifiedBy>cmullin</cp:lastModifiedBy>
  <cp:revision>2</cp:revision>
  <dcterms:created xsi:type="dcterms:W3CDTF">2010-09-02T13:08:00Z</dcterms:created>
  <dcterms:modified xsi:type="dcterms:W3CDTF">2010-09-02T13:08:00Z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TC012276861033</vt:lpwstr>
  </property>
</Properties>
</file>